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2"/>
        <w:gridCol w:w="2303"/>
        <w:gridCol w:w="2303"/>
        <w:gridCol w:w="2303"/>
      </w:tblGrid>
      <w:tr w:rsidR="0067463D" w:rsidRPr="00F0478A" w14:paraId="29F895BF" w14:textId="77777777" w:rsidTr="00DE3248">
        <w:tc>
          <w:tcPr>
            <w:tcW w:w="1951" w:type="dxa"/>
            <w:shd w:val="clear" w:color="auto" w:fill="auto"/>
          </w:tcPr>
          <w:p w14:paraId="70E92396" w14:textId="54B91415" w:rsidR="0067463D" w:rsidRPr="00F0478A" w:rsidRDefault="00734759" w:rsidP="004F466A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B445779" wp14:editId="38990B1D">
                  <wp:simplePos x="0" y="0"/>
                  <wp:positionH relativeFrom="column">
                    <wp:posOffset>-2920</wp:posOffset>
                  </wp:positionH>
                  <wp:positionV relativeFrom="paragraph">
                    <wp:posOffset>3811</wp:posOffset>
                  </wp:positionV>
                  <wp:extent cx="649312" cy="548640"/>
                  <wp:effectExtent l="0" t="0" r="0" b="3810"/>
                  <wp:wrapNone/>
                  <wp:docPr id="1684304405" name="Obrázek 1" descr="Obsah obrázku text, Písmo, logo, Grafik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04405" name="Obrázek 1" descr="Obsah obrázku text, Písmo, logo, Grafika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28" cy="550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1" w:type="dxa"/>
            <w:gridSpan w:val="4"/>
            <w:shd w:val="clear" w:color="auto" w:fill="auto"/>
          </w:tcPr>
          <w:p w14:paraId="48850614" w14:textId="77777777" w:rsidR="00734759" w:rsidRPr="00734759" w:rsidRDefault="0067463D" w:rsidP="004F466A">
            <w:pPr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 xml:space="preserve">Standard České asociace petrolejářského </w:t>
            </w:r>
          </w:p>
          <w:p w14:paraId="68A956D5" w14:textId="77777777" w:rsidR="0067463D" w:rsidRPr="00734759" w:rsidRDefault="0067463D" w:rsidP="004F466A">
            <w:pPr>
              <w:rPr>
                <w:sz w:val="28"/>
                <w:szCs w:val="28"/>
              </w:rPr>
            </w:pPr>
            <w:r w:rsidRPr="00734759">
              <w:rPr>
                <w:sz w:val="28"/>
                <w:szCs w:val="28"/>
              </w:rPr>
              <w:t>průmyslu a obchodu</w:t>
            </w:r>
          </w:p>
          <w:p w14:paraId="1B586A74" w14:textId="247C1D84" w:rsidR="00734759" w:rsidRPr="00734759" w:rsidRDefault="00734759" w:rsidP="004F466A">
            <w:pPr>
              <w:rPr>
                <w:sz w:val="28"/>
                <w:szCs w:val="28"/>
              </w:rPr>
            </w:pPr>
          </w:p>
        </w:tc>
      </w:tr>
      <w:tr w:rsidR="0067463D" w:rsidRPr="00F0478A" w14:paraId="6B41CC9D" w14:textId="77777777" w:rsidTr="00DE3248">
        <w:tc>
          <w:tcPr>
            <w:tcW w:w="9212" w:type="dxa"/>
            <w:gridSpan w:val="5"/>
            <w:shd w:val="clear" w:color="auto" w:fill="auto"/>
          </w:tcPr>
          <w:p w14:paraId="40957D4E" w14:textId="61A9D9C3" w:rsidR="00E625FF" w:rsidRPr="004F466A" w:rsidRDefault="00B65A0B" w:rsidP="004F466A">
            <w:pPr>
              <w:pStyle w:val="Nzev"/>
            </w:pPr>
            <w:r w:rsidRPr="00010DD2">
              <w:t>010</w:t>
            </w:r>
            <w:r w:rsidR="00D26C92" w:rsidRPr="00010DD2">
              <w:t>/</w:t>
            </w:r>
            <w:r w:rsidR="00331FC3" w:rsidRPr="00010DD2">
              <w:t>2024</w:t>
            </w:r>
          </w:p>
          <w:p w14:paraId="41F4E6AA" w14:textId="77777777" w:rsidR="005854A0" w:rsidRPr="004F466A" w:rsidRDefault="004F466A" w:rsidP="004F466A">
            <w:pPr>
              <w:pStyle w:val="Nzev"/>
            </w:pPr>
            <w:r w:rsidRPr="004F466A">
              <w:t>Bezpečnostní požadavky a postupy při údržbě ČS</w:t>
            </w:r>
          </w:p>
        </w:tc>
      </w:tr>
      <w:tr w:rsidR="0067463D" w:rsidRPr="00F0478A" w14:paraId="10C39E41" w14:textId="77777777" w:rsidTr="00DE3248">
        <w:tc>
          <w:tcPr>
            <w:tcW w:w="2303" w:type="dxa"/>
            <w:gridSpan w:val="2"/>
            <w:shd w:val="clear" w:color="auto" w:fill="auto"/>
          </w:tcPr>
          <w:p w14:paraId="5653A077" w14:textId="77777777" w:rsidR="0067463D" w:rsidRPr="00D26C92" w:rsidRDefault="0067463D" w:rsidP="004F466A">
            <w:r w:rsidRPr="00D26C92">
              <w:t>Datum vydání:</w:t>
            </w:r>
          </w:p>
        </w:tc>
        <w:tc>
          <w:tcPr>
            <w:tcW w:w="2303" w:type="dxa"/>
            <w:shd w:val="clear" w:color="auto" w:fill="auto"/>
          </w:tcPr>
          <w:p w14:paraId="613FD1C4" w14:textId="7C0D2814" w:rsidR="0067463D" w:rsidRPr="00D26C92" w:rsidRDefault="009A6A23" w:rsidP="004F466A">
            <w:r>
              <w:t>20.5.2024</w:t>
            </w:r>
          </w:p>
        </w:tc>
        <w:tc>
          <w:tcPr>
            <w:tcW w:w="2303" w:type="dxa"/>
            <w:shd w:val="clear" w:color="auto" w:fill="auto"/>
          </w:tcPr>
          <w:p w14:paraId="685F328E" w14:textId="77777777" w:rsidR="0067463D" w:rsidRPr="00D26C92" w:rsidRDefault="0067463D" w:rsidP="004F466A">
            <w:r w:rsidRPr="00D26C92">
              <w:t>Vydání / revize</w:t>
            </w:r>
          </w:p>
        </w:tc>
        <w:tc>
          <w:tcPr>
            <w:tcW w:w="2303" w:type="dxa"/>
            <w:shd w:val="clear" w:color="auto" w:fill="auto"/>
          </w:tcPr>
          <w:p w14:paraId="27235013" w14:textId="77777777" w:rsidR="0067463D" w:rsidRPr="00D26C92" w:rsidRDefault="004F466A" w:rsidP="004F466A">
            <w:r>
              <w:t>1</w:t>
            </w:r>
            <w:r w:rsidR="0067463D" w:rsidRPr="00D26C92">
              <w:t>/0</w:t>
            </w:r>
          </w:p>
        </w:tc>
      </w:tr>
      <w:tr w:rsidR="0067463D" w:rsidRPr="00F0478A" w14:paraId="06357F78" w14:textId="77777777" w:rsidTr="00DE3248">
        <w:tc>
          <w:tcPr>
            <w:tcW w:w="2303" w:type="dxa"/>
            <w:gridSpan w:val="2"/>
            <w:shd w:val="clear" w:color="auto" w:fill="auto"/>
          </w:tcPr>
          <w:p w14:paraId="3B9AE3AD" w14:textId="77777777" w:rsidR="0067463D" w:rsidRPr="00D26C92" w:rsidRDefault="0067463D" w:rsidP="004F466A">
            <w:r w:rsidRPr="00D26C92">
              <w:t xml:space="preserve">Autor: </w:t>
            </w:r>
          </w:p>
        </w:tc>
        <w:tc>
          <w:tcPr>
            <w:tcW w:w="2303" w:type="dxa"/>
            <w:shd w:val="clear" w:color="auto" w:fill="auto"/>
          </w:tcPr>
          <w:p w14:paraId="401D494D" w14:textId="77777777" w:rsidR="0067463D" w:rsidRPr="00D26C92" w:rsidRDefault="00977424" w:rsidP="004F466A">
            <w:r w:rsidRPr="00D26C92">
              <w:t>PS Bezpečnost</w:t>
            </w:r>
          </w:p>
        </w:tc>
        <w:tc>
          <w:tcPr>
            <w:tcW w:w="2303" w:type="dxa"/>
            <w:shd w:val="clear" w:color="auto" w:fill="auto"/>
          </w:tcPr>
          <w:p w14:paraId="3E91E690" w14:textId="77777777" w:rsidR="0067463D" w:rsidRPr="00D26C92" w:rsidRDefault="0067463D" w:rsidP="004F466A">
            <w:r w:rsidRPr="00D26C92">
              <w:t xml:space="preserve">Schválil: </w:t>
            </w:r>
          </w:p>
        </w:tc>
        <w:tc>
          <w:tcPr>
            <w:tcW w:w="2303" w:type="dxa"/>
            <w:shd w:val="clear" w:color="auto" w:fill="auto"/>
          </w:tcPr>
          <w:p w14:paraId="7E47091C" w14:textId="77777777" w:rsidR="0067463D" w:rsidRPr="00D26C92" w:rsidRDefault="00D26C92" w:rsidP="004F466A">
            <w:r>
              <w:t>představenstvo</w:t>
            </w:r>
          </w:p>
        </w:tc>
      </w:tr>
      <w:tr w:rsidR="0067463D" w:rsidRPr="00F0478A" w14:paraId="7A32315E" w14:textId="77777777" w:rsidTr="00DE3248">
        <w:tc>
          <w:tcPr>
            <w:tcW w:w="9212" w:type="dxa"/>
            <w:gridSpan w:val="5"/>
            <w:shd w:val="clear" w:color="auto" w:fill="auto"/>
          </w:tcPr>
          <w:p w14:paraId="4D67E1A7" w14:textId="77777777" w:rsidR="002A57BE" w:rsidRPr="002A57BE" w:rsidRDefault="002A57BE" w:rsidP="004F466A"/>
          <w:p w14:paraId="2548B350" w14:textId="77777777" w:rsidR="00F0478A" w:rsidRPr="006E006A" w:rsidRDefault="00F62366" w:rsidP="006E006A">
            <w:pPr>
              <w:pStyle w:val="Nzev"/>
              <w:ind w:firstLine="310"/>
              <w:jc w:val="left"/>
              <w:rPr>
                <w:sz w:val="22"/>
              </w:rPr>
            </w:pPr>
            <w:bookmarkStart w:id="0" w:name="_Toc143847676"/>
            <w:r w:rsidRPr="006E006A">
              <w:rPr>
                <w:sz w:val="22"/>
              </w:rPr>
              <w:t>Obsah</w:t>
            </w:r>
            <w:bookmarkEnd w:id="0"/>
          </w:p>
          <w:sdt>
            <w:sdtPr>
              <w:id w:val="136694735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33A48B8C" w14:textId="541CB8DE" w:rsidR="00010DD2" w:rsidRDefault="006E006A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r>
                  <w:fldChar w:fldCharType="begin"/>
                </w:r>
                <w:r>
                  <w:instrText xml:space="preserve"> TOC \o "1-2" \h \z \u </w:instrText>
                </w:r>
                <w:r>
                  <w:fldChar w:fldCharType="separate"/>
                </w:r>
                <w:hyperlink w:anchor="_Toc160177397" w:history="1">
                  <w:r w:rsidR="00010DD2" w:rsidRPr="001D11AC">
                    <w:rPr>
                      <w:rStyle w:val="Hypertextovodkaz"/>
                      <w:noProof/>
                    </w:rPr>
                    <w:t>1.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Účel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_Toc160177397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1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A8A392C" w14:textId="3EA07C76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398" w:history="1">
                  <w:r w:rsidR="00010DD2" w:rsidRPr="001D11AC">
                    <w:rPr>
                      <w:rStyle w:val="Hypertextovodkaz"/>
                      <w:noProof/>
                    </w:rPr>
                    <w:t>2.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Pojmy, zkratky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_Toc160177398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1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3C0397B" w14:textId="2B21BCBA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399" w:history="1">
                  <w:r w:rsidR="00010DD2" w:rsidRPr="001D11AC">
                    <w:rPr>
                      <w:rStyle w:val="Hypertextovodkaz"/>
                      <w:noProof/>
                    </w:rPr>
                    <w:t>3.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Nebezpečí plynoucí z provozu a údržby ČS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_Toc160177399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2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069FE1F" w14:textId="0A9B61DE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400" w:history="1">
                  <w:r w:rsidR="00010DD2" w:rsidRPr="001D11AC">
                    <w:rPr>
                      <w:rStyle w:val="Hypertextovodkaz"/>
                      <w:noProof/>
                    </w:rPr>
                    <w:t>4.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Příprava zakázky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_Toc160177400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2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46CE52" w14:textId="37C377B4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401" w:history="1">
                  <w:r w:rsidR="00010DD2" w:rsidRPr="001D11AC">
                    <w:rPr>
                      <w:rStyle w:val="Hypertextovodkaz"/>
                      <w:noProof/>
                    </w:rPr>
                    <w:t>5.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Kvalifikace provádějících osob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_Toc160177401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3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065D85D" w14:textId="3F613F91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402" w:history="1">
                  <w:r w:rsidR="00010DD2" w:rsidRPr="001D11AC">
                    <w:rPr>
                      <w:rStyle w:val="Hypertextovodkaz"/>
                      <w:noProof/>
                    </w:rPr>
                    <w:t>6.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Dokumentace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_Toc160177402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3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E2A2095" w14:textId="283DF7DC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403" w:history="1">
                  <w:r w:rsidR="00010DD2" w:rsidRPr="001D11AC">
                    <w:rPr>
                      <w:rStyle w:val="Hypertextovodkaz"/>
                      <w:noProof/>
                    </w:rPr>
                    <w:t>7.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Realizace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_Toc160177403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3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130C1D5" w14:textId="66F6DC1B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404" w:history="1">
                  <w:r w:rsidR="00010DD2" w:rsidRPr="001D11AC">
                    <w:rPr>
                      <w:rStyle w:val="Hypertextovodkaz"/>
                      <w:noProof/>
                    </w:rPr>
                    <w:t>8.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Závěr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_Toc160177404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4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688C9B7" w14:textId="33DDE16B" w:rsidR="00010DD2" w:rsidRDefault="00000000">
                <w:pPr>
                  <w:pStyle w:val="Obsah2"/>
                  <w:rPr>
                    <w:rFonts w:asciiTheme="minorHAnsi" w:eastAsiaTheme="minorEastAsia" w:hAnsiTheme="minorHAnsi" w:cstheme="minorBidi"/>
                    <w:noProof/>
                  </w:rPr>
                </w:pPr>
                <w:hyperlink w:anchor="_Toc160177405" w:history="1">
                  <w:r w:rsidR="00010DD2" w:rsidRPr="001D11AC">
                    <w:rPr>
                      <w:rStyle w:val="Hypertextovodkaz"/>
                      <w:noProof/>
                    </w:rPr>
                    <w:t>9.</w:t>
                  </w:r>
                  <w:r w:rsidR="00010DD2">
                    <w:rPr>
                      <w:rFonts w:asciiTheme="minorHAnsi" w:eastAsiaTheme="minorEastAsia" w:hAnsiTheme="minorHAnsi" w:cstheme="minorBidi"/>
                      <w:noProof/>
                    </w:rPr>
                    <w:tab/>
                  </w:r>
                  <w:r w:rsidR="00010DD2" w:rsidRPr="001D11AC">
                    <w:rPr>
                      <w:rStyle w:val="Hypertextovodkaz"/>
                      <w:noProof/>
                    </w:rPr>
                    <w:t>Přílohy</w:t>
                  </w:r>
                  <w:r w:rsidR="00010DD2">
                    <w:rPr>
                      <w:noProof/>
                      <w:webHidden/>
                    </w:rPr>
                    <w:tab/>
                  </w:r>
                  <w:r w:rsidR="00010DD2">
                    <w:rPr>
                      <w:noProof/>
                      <w:webHidden/>
                    </w:rPr>
                    <w:fldChar w:fldCharType="begin"/>
                  </w:r>
                  <w:r w:rsidR="00010DD2">
                    <w:rPr>
                      <w:noProof/>
                      <w:webHidden/>
                    </w:rPr>
                    <w:instrText xml:space="preserve"> PAGEREF _Toc160177405 \h </w:instrText>
                  </w:r>
                  <w:r w:rsidR="00010DD2">
                    <w:rPr>
                      <w:noProof/>
                      <w:webHidden/>
                    </w:rPr>
                  </w:r>
                  <w:r w:rsidR="00010DD2">
                    <w:rPr>
                      <w:noProof/>
                      <w:webHidden/>
                    </w:rPr>
                    <w:fldChar w:fldCharType="separate"/>
                  </w:r>
                  <w:r w:rsidR="00A21375">
                    <w:rPr>
                      <w:noProof/>
                      <w:webHidden/>
                    </w:rPr>
                    <w:t>4</w:t>
                  </w:r>
                  <w:r w:rsidR="00010DD2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ECD9AA5" w14:textId="3587BE84" w:rsidR="006E006A" w:rsidRDefault="006E006A">
                <w:r>
                  <w:fldChar w:fldCharType="end"/>
                </w:r>
              </w:p>
            </w:sdtContent>
          </w:sdt>
          <w:p w14:paraId="5BA20FAE" w14:textId="77777777" w:rsidR="00ED7C48" w:rsidRDefault="00ED7C48" w:rsidP="00CC039D">
            <w:pPr>
              <w:ind w:left="456"/>
            </w:pPr>
          </w:p>
          <w:p w14:paraId="734064FE" w14:textId="77777777" w:rsidR="00ED7C48" w:rsidRPr="00CC039D" w:rsidRDefault="00ED7C48" w:rsidP="00CC039D">
            <w:pPr>
              <w:pStyle w:val="Nadpis2"/>
            </w:pPr>
            <w:bookmarkStart w:id="1" w:name="_Toc160177397"/>
            <w:r w:rsidRPr="00CC039D">
              <w:t>Účel</w:t>
            </w:r>
            <w:bookmarkEnd w:id="1"/>
          </w:p>
          <w:p w14:paraId="086F5BDD" w14:textId="77777777" w:rsidR="00ED7C48" w:rsidRDefault="00ED7C48" w:rsidP="009A6A23">
            <w:r>
              <w:t>Předkládaný Standard ČAPPO je metodickým pokynem, který shrnuje aktuální poznatky členských firem k dané problematice a je dostupný pro všechny společnosti v oboru podle zásady „ Bezpečnost a ochrana životního prostředí nejsou předmětem konkurence“.</w:t>
            </w:r>
          </w:p>
          <w:p w14:paraId="3323DCDE" w14:textId="394067AA" w:rsidR="00ED7C48" w:rsidRDefault="00ED7C48" w:rsidP="009A6A23">
            <w:r>
              <w:t xml:space="preserve">Pracovní postup podle tohoto metodického pokynu je doporučen všem společnostem provozujícím čerpací stanice </w:t>
            </w:r>
            <w:r w:rsidRPr="00595286">
              <w:t>s cílem předcházet vzniku mimořádných událostí při údržbě, opravách, rekonstrukcích a dalších činnostech prováděných zaměstnanci dodavatelských společností zejména na technologických částech skladování a výdeje pohonných hmot včetně alternativních pohonů</w:t>
            </w:r>
            <w:r w:rsidR="00987CD2">
              <w:t xml:space="preserve"> za účelem ochrany majetku, zdraví a bezpečnosti všech zúčastněných osob včetně zákazníků a ochrany životního prostředí</w:t>
            </w:r>
            <w:r w:rsidRPr="00595286">
              <w:t>.</w:t>
            </w:r>
            <w:r w:rsidR="00D43872">
              <w:t xml:space="preserve"> Nevztahuje se na dodávky zboží, odvoz odpadů, běžnou údržbu a úklid ploch a komunikací</w:t>
            </w:r>
            <w:r w:rsidR="001D49F3">
              <w:t>.</w:t>
            </w:r>
          </w:p>
          <w:p w14:paraId="01DCF13E" w14:textId="77777777" w:rsidR="00ED7C48" w:rsidRDefault="00ED7C48" w:rsidP="00ED7C48"/>
          <w:p w14:paraId="141F7AAB" w14:textId="77777777" w:rsidR="00373F19" w:rsidRDefault="00373F19" w:rsidP="00CC039D">
            <w:pPr>
              <w:pStyle w:val="Nadpis2"/>
            </w:pPr>
            <w:bookmarkStart w:id="2" w:name="_Toc160177398"/>
            <w:r>
              <w:t>Pojmy, zkratky</w:t>
            </w:r>
            <w:bookmarkEnd w:id="2"/>
          </w:p>
          <w:p w14:paraId="0F8ED6B7" w14:textId="42B0AED8" w:rsidR="002A7E9C" w:rsidRDefault="002A7E9C" w:rsidP="002A7E9C">
            <w:pPr>
              <w:pStyle w:val="Odstavecseseznamem"/>
            </w:pPr>
            <w:r>
              <w:t xml:space="preserve">Dodavatel - (kontraktor, zhotovitel) právnická nebo podnikající fyzická osoba, která na základě smluvního vztahu s provozovatelem ČS provádí na ČS činnosti </w:t>
            </w:r>
            <w:r w:rsidR="002877F2">
              <w:t xml:space="preserve">sama nebo </w:t>
            </w:r>
            <w:r>
              <w:t xml:space="preserve">svými zaměstnanci. </w:t>
            </w:r>
          </w:p>
          <w:p w14:paraId="75CFEBAA" w14:textId="77777777" w:rsidR="002A7E9C" w:rsidRDefault="002A7E9C" w:rsidP="002A7E9C">
            <w:pPr>
              <w:pStyle w:val="Odstavecseseznamem"/>
            </w:pPr>
            <w:r>
              <w:t>Odpovědný zástupce dodavatele – zaměstnanec dodavatele samostatně provádějící činnosti na ČS nebo řídící pracovní skupinu, který zodpovídá za dodržování pravidel stanovených tímto standardem ze strany dodavatele a koordinaci BOZP ve smyslu čl. 7.2</w:t>
            </w:r>
          </w:p>
          <w:p w14:paraId="6276975B" w14:textId="77777777" w:rsidR="002877F2" w:rsidRDefault="002877F2" w:rsidP="002877F2">
            <w:pPr>
              <w:pStyle w:val="Odstavecseseznamem"/>
            </w:pPr>
            <w:r w:rsidRPr="002877F2">
              <w:t>Technologický postup/pracovní postup – dokument popisující posloupnost dílčích kroků nebo činností a jejich vazeb, které jsou nutné k provedení práce, obsahující opatření, která je nutno přijmout k zabránění vzniku požáru nebo výbuchu při provádění této práce. Dokument musí být schválený, obvykle zástupci dodavatele a zástupci zadavatele. Technologický postup se zpracovává na jednorázové činnosti, pracovní postup na činnosti opakující se.</w:t>
            </w:r>
          </w:p>
          <w:p w14:paraId="16B1ACDF" w14:textId="38925FEB" w:rsidR="00CC039D" w:rsidRDefault="001F5D56" w:rsidP="002877F2">
            <w:pPr>
              <w:pStyle w:val="Odstavecseseznamem"/>
            </w:pPr>
            <w:r>
              <w:t>BOZP</w:t>
            </w:r>
            <w:r w:rsidR="00D34BEE">
              <w:t xml:space="preserve"> – bezpečnost a ochrana zdraví při práci</w:t>
            </w:r>
          </w:p>
          <w:p w14:paraId="39419AB7" w14:textId="77777777" w:rsidR="001F5D56" w:rsidRDefault="001F5D56" w:rsidP="001F5D56">
            <w:pPr>
              <w:pStyle w:val="Odstavecseseznamem"/>
            </w:pPr>
            <w:r>
              <w:t>ČS</w:t>
            </w:r>
            <w:r w:rsidR="00D34BEE">
              <w:t xml:space="preserve"> – čerpací stanice</w:t>
            </w:r>
          </w:p>
          <w:p w14:paraId="24D91EB2" w14:textId="68532DAD" w:rsidR="00083167" w:rsidRDefault="00083167" w:rsidP="001F5D56">
            <w:pPr>
              <w:pStyle w:val="Odstavecseseznamem"/>
            </w:pPr>
            <w:r>
              <w:t>EX – prostor, v němž jsou stanoveny zóny 0-2 (20-22) nebezpečí výbuchu</w:t>
            </w:r>
          </w:p>
          <w:p w14:paraId="5A0C4227" w14:textId="187BF5CD" w:rsidR="000B4F79" w:rsidRDefault="000B4F79" w:rsidP="001F5D56">
            <w:pPr>
              <w:pStyle w:val="Odstavecseseznamem"/>
            </w:pPr>
            <w:r>
              <w:lastRenderedPageBreak/>
              <w:t>OOPP – osobní ochranné pracovní prostředky</w:t>
            </w:r>
          </w:p>
          <w:p w14:paraId="387B5FB1" w14:textId="040EECEA" w:rsidR="001F5D56" w:rsidRDefault="001F5D56" w:rsidP="001F5D56">
            <w:pPr>
              <w:pStyle w:val="Odstavecseseznamem"/>
            </w:pPr>
            <w:r>
              <w:t>OŽP</w:t>
            </w:r>
            <w:r w:rsidR="008C349B">
              <w:t xml:space="preserve"> (ŽP)</w:t>
            </w:r>
            <w:r w:rsidR="00D34BEE">
              <w:t xml:space="preserve"> – ochrana </w:t>
            </w:r>
            <w:r w:rsidR="008C349B">
              <w:t>(</w:t>
            </w:r>
            <w:r w:rsidR="00D34BEE">
              <w:t>životního prostředí</w:t>
            </w:r>
            <w:r w:rsidR="008C349B">
              <w:t>)</w:t>
            </w:r>
          </w:p>
          <w:p w14:paraId="7012D8A6" w14:textId="77777777" w:rsidR="0045678C" w:rsidRDefault="0045678C" w:rsidP="001F5D56">
            <w:pPr>
              <w:pStyle w:val="Odstavecseseznamem"/>
            </w:pPr>
            <w:r>
              <w:t>PBO – požárně bezpečnostní opatření</w:t>
            </w:r>
          </w:p>
          <w:p w14:paraId="1E0E3FDC" w14:textId="77777777" w:rsidR="001F5D56" w:rsidRPr="00595286" w:rsidRDefault="001F5D56" w:rsidP="001F5D56">
            <w:pPr>
              <w:pStyle w:val="Odstavecseseznamem"/>
            </w:pPr>
            <w:r>
              <w:t>PHL</w:t>
            </w:r>
            <w:r w:rsidR="00D34BEE">
              <w:t xml:space="preserve"> – pohonné hmoty a látky (benzíny, nafta, CNG,</w:t>
            </w:r>
            <w:r w:rsidR="00595286">
              <w:t xml:space="preserve"> LNG,</w:t>
            </w:r>
            <w:r w:rsidR="00D34BEE">
              <w:t xml:space="preserve"> LPG, Vodík, </w:t>
            </w:r>
            <w:r w:rsidR="00D34BEE" w:rsidRPr="00595286">
              <w:t>elektrická energie</w:t>
            </w:r>
            <w:r w:rsidR="002D50DD">
              <w:t xml:space="preserve">; </w:t>
            </w:r>
            <w:r w:rsidR="002D50DD" w:rsidRPr="008E6BA3">
              <w:t>prodávané provozní náplně</w:t>
            </w:r>
            <w:r w:rsidR="002D50DD" w:rsidRPr="00FE7AB1">
              <w:t>…</w:t>
            </w:r>
            <w:r w:rsidR="00D34BEE" w:rsidRPr="00FE7AB1">
              <w:t>)</w:t>
            </w:r>
          </w:p>
          <w:p w14:paraId="1B0ABC5B" w14:textId="4EF01A01" w:rsidR="008C349B" w:rsidRDefault="001F5D56" w:rsidP="008C349B">
            <w:pPr>
              <w:pStyle w:val="Odstavecseseznamem"/>
            </w:pPr>
            <w:r>
              <w:t>PO</w:t>
            </w:r>
            <w:r w:rsidR="00D34BEE">
              <w:t xml:space="preserve"> – požární ochrana</w:t>
            </w:r>
          </w:p>
          <w:p w14:paraId="60F5AEA8" w14:textId="77777777" w:rsidR="001F5D56" w:rsidRPr="00CC039D" w:rsidRDefault="001F5D56" w:rsidP="00D34BEE"/>
          <w:p w14:paraId="4C3A4736" w14:textId="236C40A6" w:rsidR="00373F19" w:rsidRDefault="001F5D56" w:rsidP="00CC039D">
            <w:pPr>
              <w:pStyle w:val="Nadpis2"/>
            </w:pPr>
            <w:bookmarkStart w:id="3" w:name="_Toc160177399"/>
            <w:r>
              <w:t>Nebezpečí</w:t>
            </w:r>
            <w:r w:rsidR="00CC039D">
              <w:t xml:space="preserve"> plynoucí z provozu </w:t>
            </w:r>
            <w:r w:rsidR="00E54BFF">
              <w:t xml:space="preserve">a údržby </w:t>
            </w:r>
            <w:r w:rsidR="00CC039D">
              <w:t>ČS</w:t>
            </w:r>
            <w:bookmarkEnd w:id="3"/>
          </w:p>
          <w:p w14:paraId="72CAB6D5" w14:textId="77777777" w:rsidR="00CC039D" w:rsidRDefault="00CC039D" w:rsidP="006E006A">
            <w:pPr>
              <w:pStyle w:val="Odstavecseseznamem"/>
              <w:numPr>
                <w:ilvl w:val="1"/>
                <w:numId w:val="5"/>
              </w:numPr>
            </w:pPr>
            <w:r>
              <w:t>Z</w:t>
            </w:r>
            <w:r w:rsidR="00D34BEE">
              <w:t>a běžného provozu ČS představuje z</w:t>
            </w:r>
            <w:r>
              <w:t xml:space="preserve">ákladní </w:t>
            </w:r>
            <w:r w:rsidR="001F5D56">
              <w:t>nebezpečí</w:t>
            </w:r>
            <w:r>
              <w:t xml:space="preserve"> pro zdraví a život osob, ale i životní p</w:t>
            </w:r>
            <w:r w:rsidR="001F5D56">
              <w:t xml:space="preserve">rostředí a majetek, </w:t>
            </w:r>
            <w:r>
              <w:t xml:space="preserve">provoz dopravních prostředků v areálu bez ohledu na druhy prodávaných </w:t>
            </w:r>
            <w:r w:rsidR="001F5D56">
              <w:t>PHL</w:t>
            </w:r>
            <w:r>
              <w:t xml:space="preserve"> a rozsah poskytovaných služeb</w:t>
            </w:r>
            <w:r w:rsidR="001F5D56">
              <w:t xml:space="preserve"> a z něj plynoucí rizika kolize dopravních prostředků mezi sebou, s osobami nebo zařízením ČS.</w:t>
            </w:r>
          </w:p>
          <w:p w14:paraId="65D50FE0" w14:textId="77777777" w:rsidR="00D34BEE" w:rsidRDefault="00D34BEE" w:rsidP="006E006A">
            <w:pPr>
              <w:pStyle w:val="Odstavecseseznamem"/>
              <w:numPr>
                <w:ilvl w:val="1"/>
                <w:numId w:val="5"/>
              </w:numPr>
            </w:pPr>
            <w:r>
              <w:t>Specifickým nebezpečím ČS jsou pak vlastnosti prodávaných PHL, zejména jejich hořlavost a schopnost plynů a par některých z nich tvořit ve směsi se vzduchem výbušnou atmosféru, závadnost pro životní prostředí a v neposlední řadě karcinogenita nebo dráždivost</w:t>
            </w:r>
          </w:p>
          <w:p w14:paraId="39CEE003" w14:textId="77777777" w:rsidR="00D34BEE" w:rsidRDefault="00D34BEE" w:rsidP="006E006A">
            <w:pPr>
              <w:pStyle w:val="Odstavecseseznamem"/>
              <w:numPr>
                <w:ilvl w:val="1"/>
                <w:numId w:val="5"/>
              </w:numPr>
            </w:pPr>
            <w:r>
              <w:t xml:space="preserve">Další nebezpečí vycházejí z provozování vyhrazených technických zařízení elektrických, plynových a tlakových, případně zdvihacích. </w:t>
            </w:r>
          </w:p>
          <w:p w14:paraId="5074B28C" w14:textId="77777777" w:rsidR="00CC039D" w:rsidRDefault="00CC039D" w:rsidP="00CC039D"/>
          <w:p w14:paraId="27F28E6F" w14:textId="77777777" w:rsidR="00CC039D" w:rsidRDefault="00CC039D" w:rsidP="00CC039D">
            <w:pPr>
              <w:pStyle w:val="Nadpis2"/>
            </w:pPr>
            <w:bookmarkStart w:id="4" w:name="_Toc160177400"/>
            <w:r>
              <w:t>Příprava zakázky</w:t>
            </w:r>
            <w:bookmarkEnd w:id="4"/>
          </w:p>
          <w:p w14:paraId="1F4F0F8B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37140B75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170857AE" w14:textId="77777777" w:rsidR="005F5952" w:rsidRPr="005F5952" w:rsidRDefault="005F5952" w:rsidP="006E006A">
            <w:pPr>
              <w:pStyle w:val="Odstavecseseznamem"/>
              <w:numPr>
                <w:ilvl w:val="0"/>
                <w:numId w:val="5"/>
              </w:numPr>
              <w:rPr>
                <w:vanish/>
              </w:rPr>
            </w:pPr>
          </w:p>
          <w:p w14:paraId="36186F53" w14:textId="77777777" w:rsidR="00333CD0" w:rsidRDefault="00CC039D" w:rsidP="006E006A">
            <w:pPr>
              <w:pStyle w:val="Odstavecseseznamem"/>
              <w:numPr>
                <w:ilvl w:val="1"/>
                <w:numId w:val="6"/>
              </w:numPr>
            </w:pPr>
            <w:r>
              <w:t>V závislosti na charakteru, rozsahu a náplni smluvního vztahu s dodavatelem je doporučeno ošetřit vzájemná práva a povinnosti v oblasti BOZP, PO a OŽP již ve smlouvě nebo objednávce vč</w:t>
            </w:r>
            <w:r w:rsidR="00D34BEE">
              <w:t>etně stanovení smluvních sankcí.</w:t>
            </w:r>
            <w:r w:rsidR="00333CD0">
              <w:t xml:space="preserve"> </w:t>
            </w:r>
          </w:p>
          <w:p w14:paraId="62739712" w14:textId="77777777" w:rsidR="0045678C" w:rsidRDefault="0045678C" w:rsidP="006E006A">
            <w:pPr>
              <w:pStyle w:val="Odstavecseseznamem"/>
              <w:numPr>
                <w:ilvl w:val="1"/>
                <w:numId w:val="6"/>
              </w:numPr>
            </w:pPr>
            <w:r>
              <w:t>Vždy by mělo být zakotveno právo všech zúčastněných osob okamžitě přerušit práci v případě ohrožení bezpečnosti v důsledku nedodržování opatření nebo nepředvídané změny pracovních podmínek.</w:t>
            </w:r>
          </w:p>
          <w:p w14:paraId="0777782A" w14:textId="68C67146" w:rsidR="00CC039D" w:rsidRDefault="00333CD0" w:rsidP="006E006A">
            <w:pPr>
              <w:pStyle w:val="Odstavecseseznamem"/>
              <w:numPr>
                <w:ilvl w:val="1"/>
                <w:numId w:val="6"/>
              </w:numPr>
            </w:pPr>
            <w:r>
              <w:t xml:space="preserve">V případě provádění jakýchkoliv prací byť jediným externím </w:t>
            </w:r>
            <w:r w:rsidR="00E54BFF">
              <w:t>dodavatel</w:t>
            </w:r>
            <w:r>
              <w:t xml:space="preserve">em za přítomnosti obsluhy na ČS se jedná o plnění úkolů zaměstnanci více zaměstnavatelů na jednom pracovišti a zaměstnavatelé </w:t>
            </w:r>
            <w:r w:rsidR="009A0E3D">
              <w:t xml:space="preserve">jsou povinni </w:t>
            </w:r>
            <w:r w:rsidR="009A0E3D" w:rsidRPr="009A0E3D">
              <w:t>vzájemně se písemně informovat o rizicích a přijatých opatřeních</w:t>
            </w:r>
            <w:r w:rsidR="009A0E3D">
              <w:t xml:space="preserve"> a stanovit, který ze zaměstnavatelů bude koordinovat činnosti tak, aby nedošlo ke vzájemnému ohrožení.</w:t>
            </w:r>
          </w:p>
          <w:p w14:paraId="0D49A8F2" w14:textId="77777777" w:rsidR="00D34BEE" w:rsidRDefault="009A0E3D" w:rsidP="006E006A">
            <w:pPr>
              <w:pStyle w:val="Odstavecseseznamem"/>
              <w:numPr>
                <w:ilvl w:val="1"/>
                <w:numId w:val="6"/>
              </w:numPr>
            </w:pPr>
            <w:r>
              <w:t>Je-li to možné, doporučuje se neprovádět na ČS současně více prací různými pracovními skupinami.</w:t>
            </w:r>
          </w:p>
          <w:p w14:paraId="5DE2FC8B" w14:textId="74B21E47" w:rsidR="005A1D6A" w:rsidRDefault="00AF41CA" w:rsidP="006E006A">
            <w:pPr>
              <w:pStyle w:val="Odstavecseseznamem"/>
              <w:numPr>
                <w:ilvl w:val="1"/>
                <w:numId w:val="6"/>
              </w:numPr>
            </w:pPr>
            <w:r>
              <w:t>Před zahájením práce je nutné</w:t>
            </w:r>
            <w:r w:rsidR="00414F36">
              <w:t xml:space="preserve"> rozhodnout o nebezpečnosti práce</w:t>
            </w:r>
            <w:r>
              <w:t xml:space="preserve"> ve vztahu k</w:t>
            </w:r>
            <w:r w:rsidR="00E46F28">
              <w:t> </w:t>
            </w:r>
            <w:r>
              <w:t>prostředí</w:t>
            </w:r>
            <w:r w:rsidR="00E46F28">
              <w:t xml:space="preserve">, </w:t>
            </w:r>
            <w:r w:rsidR="00414F36">
              <w:t>nastavit správný postup</w:t>
            </w:r>
            <w:r w:rsidR="006C5F51">
              <w:t>, stanovit potřebná opatření</w:t>
            </w:r>
            <w:r w:rsidR="00414F36">
              <w:t xml:space="preserve"> a zpracovat potřebnou dokumentaci</w:t>
            </w:r>
            <w:r w:rsidR="00FE7AB1">
              <w:t xml:space="preserve"> dle čl.6.</w:t>
            </w:r>
            <w:r w:rsidR="0090580A">
              <w:t>3.</w:t>
            </w:r>
            <w:r w:rsidR="00D43872">
              <w:t xml:space="preserve"> Dokumentaci zpracovává a vydává provozovatel ČS nebo jím pověřená osoba.</w:t>
            </w:r>
          </w:p>
          <w:p w14:paraId="67FF35EA" w14:textId="77777777" w:rsidR="009A0E3D" w:rsidRDefault="009A0E3D" w:rsidP="009A0E3D">
            <w:pPr>
              <w:pStyle w:val="Bezmezer"/>
              <w:numPr>
                <w:ilvl w:val="0"/>
                <w:numId w:val="0"/>
              </w:numPr>
              <w:ind w:left="360"/>
            </w:pPr>
          </w:p>
          <w:p w14:paraId="44C42E8B" w14:textId="77777777" w:rsidR="006100E0" w:rsidRDefault="006100E0" w:rsidP="006E006A">
            <w:pPr>
              <w:pStyle w:val="Odstavecseseznamem"/>
              <w:numPr>
                <w:ilvl w:val="1"/>
                <w:numId w:val="6"/>
              </w:numPr>
            </w:pPr>
            <w:r>
              <w:t>Nebezpečnost práce lze rozdělit do tří základních kategorií</w:t>
            </w:r>
            <w:r w:rsidR="004808AF">
              <w:t xml:space="preserve">, od nichž lze odvodit </w:t>
            </w:r>
            <w:r w:rsidR="0089276A">
              <w:t xml:space="preserve">kvalifikační požadavky, </w:t>
            </w:r>
            <w:r w:rsidR="004808AF">
              <w:t xml:space="preserve">potřebná opatření a rozsah předepsané dokumentace. </w:t>
            </w:r>
          </w:p>
          <w:p w14:paraId="353A70D9" w14:textId="77777777" w:rsidR="006100E0" w:rsidRDefault="006100E0" w:rsidP="00414F36"/>
          <w:p w14:paraId="1E081352" w14:textId="5286B087" w:rsidR="00035FE2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S NÍZKÝM RIZIKEM</w:t>
            </w:r>
            <w:r w:rsidR="0089276A">
              <w:t xml:space="preserve"> – </w:t>
            </w:r>
            <w:r w:rsidR="00035FE2">
              <w:t xml:space="preserve">práce </w:t>
            </w:r>
            <w:r w:rsidR="00333CD0">
              <w:t xml:space="preserve">neuvedené v bodech b) a c) </w:t>
            </w:r>
            <w:r w:rsidR="00035FE2">
              <w:t xml:space="preserve">splňující všechny uvedené podmínky: mimo </w:t>
            </w:r>
            <w:r w:rsidR="00083167">
              <w:t>EX</w:t>
            </w:r>
            <w:r w:rsidR="00035FE2">
              <w:t>, mimo nebezpečný prostor, bez použití zdrojů záření</w:t>
            </w:r>
            <w:r w:rsidR="009A2069">
              <w:t>, jiskření a tepelných zdrojů</w:t>
            </w:r>
            <w:r w:rsidR="00035FE2">
              <w:t>, neomezující provoz ČS,</w:t>
            </w:r>
            <w:r w:rsidR="00B91C79">
              <w:t xml:space="preserve"> </w:t>
            </w:r>
            <w:r w:rsidR="00035FE2">
              <w:t>neomezující pohyb vozidel a veřejnosti na ČS, práce bez vlivu na sousední objekty.</w:t>
            </w:r>
          </w:p>
          <w:p w14:paraId="36D9E624" w14:textId="77777777" w:rsidR="006100E0" w:rsidRDefault="006100E0" w:rsidP="00035FE2">
            <w:pPr>
              <w:pStyle w:val="Odstavecseseznamem"/>
              <w:numPr>
                <w:ilvl w:val="0"/>
                <w:numId w:val="0"/>
              </w:numPr>
              <w:ind w:left="720"/>
            </w:pPr>
          </w:p>
          <w:p w14:paraId="605EB324" w14:textId="23E37637" w:rsidR="006100E0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RIZIKOVÉ</w:t>
            </w:r>
            <w:r w:rsidR="0089276A">
              <w:t xml:space="preserve"> </w:t>
            </w:r>
            <w:r w:rsidR="00035FE2">
              <w:t>–</w:t>
            </w:r>
            <w:r w:rsidR="0089276A">
              <w:t xml:space="preserve"> </w:t>
            </w:r>
            <w:r w:rsidR="00035FE2">
              <w:t>práce nesplňující některou z podmínek uvedených v</w:t>
            </w:r>
            <w:r w:rsidR="00DB4FA9">
              <w:t xml:space="preserve"> odrážce </w:t>
            </w:r>
            <w:r w:rsidR="00035FE2">
              <w:t>a)</w:t>
            </w:r>
            <w:r w:rsidR="00DB4FA9">
              <w:t xml:space="preserve">, </w:t>
            </w:r>
            <w:r w:rsidR="00035FE2">
              <w:t xml:space="preserve">požárně nebezpečné </w:t>
            </w:r>
            <w:r w:rsidR="00035FE2" w:rsidRPr="00035FE2">
              <w:t xml:space="preserve">práce </w:t>
            </w:r>
            <w:r w:rsidR="00035FE2">
              <w:t xml:space="preserve">vyžadující základní </w:t>
            </w:r>
            <w:r w:rsidR="0045678C">
              <w:t>PBO</w:t>
            </w:r>
            <w:r w:rsidR="00DB4FA9" w:rsidRPr="00B246EA">
              <w:rPr>
                <w:rStyle w:val="Znakapoznpodarou"/>
                <w:color w:val="FF0000"/>
              </w:rPr>
              <w:footnoteReference w:id="1"/>
            </w:r>
            <w:r w:rsidR="00035FE2">
              <w:t xml:space="preserve">, výkopové práce, </w:t>
            </w:r>
            <w:r w:rsidR="00B91C79">
              <w:t xml:space="preserve">práce ve výšce </w:t>
            </w:r>
            <w:r w:rsidR="00FE7AB1">
              <w:t xml:space="preserve">a nad volnou hloubkou </w:t>
            </w:r>
            <w:r w:rsidR="00B91C79">
              <w:t>zajištěné kolektivní ochranou, práce na vyhrazených technických zařízeních</w:t>
            </w:r>
            <w:r w:rsidR="002B051F">
              <w:t xml:space="preserve"> neuvedené v</w:t>
            </w:r>
            <w:r w:rsidR="00DB4FA9">
              <w:t xml:space="preserve"> odrážce </w:t>
            </w:r>
            <w:r w:rsidR="002B051F">
              <w:t>c)</w:t>
            </w:r>
            <w:r w:rsidR="00B91C79">
              <w:t>.</w:t>
            </w:r>
          </w:p>
          <w:p w14:paraId="2C0B5188" w14:textId="77777777" w:rsidR="00B91C79" w:rsidRDefault="00B91C79" w:rsidP="00B91C79">
            <w:pPr>
              <w:pStyle w:val="Odstavecseseznamem"/>
              <w:numPr>
                <w:ilvl w:val="0"/>
                <w:numId w:val="0"/>
              </w:numPr>
              <w:ind w:left="312"/>
            </w:pPr>
          </w:p>
          <w:p w14:paraId="4943A5FF" w14:textId="1087D92E" w:rsidR="006100E0" w:rsidRDefault="006100E0" w:rsidP="006E006A">
            <w:pPr>
              <w:pStyle w:val="Odstavecseseznamem"/>
              <w:numPr>
                <w:ilvl w:val="0"/>
                <w:numId w:val="4"/>
              </w:numPr>
            </w:pPr>
            <w:r>
              <w:t>NEBEZPEČNÉ</w:t>
            </w:r>
            <w:r w:rsidR="00B91C79">
              <w:t xml:space="preserve"> </w:t>
            </w:r>
            <w:r w:rsidR="002B051F">
              <w:t>–</w:t>
            </w:r>
            <w:r w:rsidR="00B91C79">
              <w:t xml:space="preserve"> </w:t>
            </w:r>
            <w:r w:rsidR="002B051F">
              <w:t>práce v </w:t>
            </w:r>
            <w:r w:rsidR="00D94888">
              <w:t>EX</w:t>
            </w:r>
            <w:r w:rsidR="002B051F">
              <w:t xml:space="preserve">, </w:t>
            </w:r>
            <w:r w:rsidR="006977D5">
              <w:t xml:space="preserve">práce v nebezpečném </w:t>
            </w:r>
            <w:r w:rsidR="00FE7AB1">
              <w:t xml:space="preserve">stísněném nebo uzavřeném </w:t>
            </w:r>
            <w:r w:rsidR="006977D5">
              <w:t xml:space="preserve">prostoru, </w:t>
            </w:r>
            <w:r w:rsidR="002B051F">
              <w:t xml:space="preserve">požárně nebezpečné </w:t>
            </w:r>
            <w:r w:rsidR="002B051F" w:rsidRPr="00035FE2">
              <w:t xml:space="preserve">práce </w:t>
            </w:r>
            <w:r w:rsidR="002B051F">
              <w:t xml:space="preserve">vyžadující zvláštní </w:t>
            </w:r>
            <w:r w:rsidR="0045678C">
              <w:t>PBO</w:t>
            </w:r>
            <w:r w:rsidR="00333CD0" w:rsidRPr="00333CD0">
              <w:rPr>
                <w:color w:val="FF0000"/>
                <w:vertAlign w:val="superscript"/>
              </w:rPr>
              <w:t>1</w:t>
            </w:r>
            <w:r w:rsidR="00DB4FA9">
              <w:t xml:space="preserve">, </w:t>
            </w:r>
            <w:r w:rsidR="00333CD0">
              <w:t>práce ve výšce</w:t>
            </w:r>
            <w:r w:rsidR="00FE7AB1">
              <w:t xml:space="preserve"> a nad </w:t>
            </w:r>
            <w:r w:rsidR="00FE7AB1">
              <w:lastRenderedPageBreak/>
              <w:t>volnou hloubkou</w:t>
            </w:r>
            <w:r w:rsidR="00333CD0">
              <w:t xml:space="preserve"> s využitím OOPP proti pádu, </w:t>
            </w:r>
            <w:r w:rsidR="00DB4FA9">
              <w:t xml:space="preserve">práce se zdroji ionizujícího záření, </w:t>
            </w:r>
            <w:r w:rsidR="006977D5">
              <w:t xml:space="preserve">práce ovlivňující sousední objekty, </w:t>
            </w:r>
            <w:r w:rsidR="00DB4FA9">
              <w:t>stavební práce vyžadující zpracování technologického postupu</w:t>
            </w:r>
            <w:r w:rsidR="00DB4FA9" w:rsidRPr="00B246EA">
              <w:rPr>
                <w:rStyle w:val="Znakapoznpodarou"/>
                <w:color w:val="FF0000"/>
              </w:rPr>
              <w:footnoteReference w:id="2"/>
            </w:r>
          </w:p>
          <w:p w14:paraId="43440E70" w14:textId="77777777" w:rsidR="004808AF" w:rsidRDefault="004808AF" w:rsidP="004808AF"/>
          <w:p w14:paraId="5CEC56BF" w14:textId="77777777" w:rsidR="008F5172" w:rsidRDefault="00CC039D" w:rsidP="008F5172">
            <w:pPr>
              <w:pStyle w:val="Nadpis2"/>
            </w:pPr>
            <w:bookmarkStart w:id="5" w:name="_Toc160177401"/>
            <w:r>
              <w:t>Kvalifikace provádějících osob</w:t>
            </w:r>
            <w:bookmarkEnd w:id="5"/>
          </w:p>
          <w:p w14:paraId="71C8C60F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3E632423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7C6E21C3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281227E2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5B90CE42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1AB330DD" w14:textId="46B17AE2" w:rsidR="009A2069" w:rsidRDefault="006977D5" w:rsidP="009A2069">
            <w:pPr>
              <w:pStyle w:val="Odstavecseseznamem"/>
              <w:numPr>
                <w:ilvl w:val="1"/>
                <w:numId w:val="7"/>
              </w:numPr>
            </w:pPr>
            <w:r>
              <w:t>Základním kvalifikačním požadavkem je seznámení všech zúčastněných osob s vyhodnocením rizik</w:t>
            </w:r>
            <w:r w:rsidR="009A2069">
              <w:t>,</w:t>
            </w:r>
            <w:r>
              <w:t xml:space="preserve"> přijatými opatřeními </w:t>
            </w:r>
            <w:r w:rsidR="009A2069">
              <w:t xml:space="preserve">a chováním v případě vzniku mimořádné události, </w:t>
            </w:r>
            <w:r>
              <w:t xml:space="preserve">včetně </w:t>
            </w:r>
            <w:r w:rsidR="009A2069">
              <w:t xml:space="preserve">konkrétních </w:t>
            </w:r>
            <w:r>
              <w:t>povinností jednotlivců.</w:t>
            </w:r>
          </w:p>
          <w:p w14:paraId="55077F46" w14:textId="77777777" w:rsidR="008F5172" w:rsidRDefault="006977D5" w:rsidP="006E006A">
            <w:pPr>
              <w:pStyle w:val="Odstavecseseznamem"/>
              <w:numPr>
                <w:ilvl w:val="1"/>
                <w:numId w:val="7"/>
              </w:numPr>
            </w:pPr>
            <w:r>
              <w:t>P</w:t>
            </w:r>
            <w:r w:rsidR="008F5172">
              <w:t xml:space="preserve">ro samostatný výkon práce na ČS se doporučuje seznámení se zásadami tohoto standardu. </w:t>
            </w:r>
          </w:p>
          <w:p w14:paraId="1BAA7A59" w14:textId="50942C74" w:rsidR="006977D5" w:rsidRDefault="008F5172" w:rsidP="006E006A">
            <w:pPr>
              <w:pStyle w:val="Odstavecseseznamem"/>
              <w:numPr>
                <w:ilvl w:val="1"/>
                <w:numId w:val="7"/>
              </w:numPr>
            </w:pPr>
            <w:r>
              <w:t>P</w:t>
            </w:r>
            <w:r w:rsidR="006977D5">
              <w:t xml:space="preserve">ři práci prováděné vícečlennou pracovní skupinou </w:t>
            </w:r>
            <w:r w:rsidR="009A2069">
              <w:t xml:space="preserve">musí </w:t>
            </w:r>
            <w:r w:rsidR="006977D5">
              <w:t xml:space="preserve">být určen </w:t>
            </w:r>
            <w:r w:rsidR="00D91028">
              <w:t>odpovědný zástupce dodavatele</w:t>
            </w:r>
            <w:r w:rsidR="006977D5">
              <w:t>, který odpovídá za dodržování všech pravidel všemi členy pracovní skupiny, trvale přítomný po dobu provádění prací, který je seznámen se zásadami tohoto standardu.</w:t>
            </w:r>
          </w:p>
          <w:p w14:paraId="76245A9B" w14:textId="5ECF506E" w:rsidR="006977D5" w:rsidRDefault="008C1390" w:rsidP="006E006A">
            <w:pPr>
              <w:pStyle w:val="Odstavecseseznamem"/>
              <w:numPr>
                <w:ilvl w:val="1"/>
                <w:numId w:val="7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FBA6D" wp14:editId="04ED1F22">
                      <wp:simplePos x="0" y="0"/>
                      <wp:positionH relativeFrom="column">
                        <wp:posOffset>-182588535</wp:posOffset>
                      </wp:positionH>
                      <wp:positionV relativeFrom="paragraph">
                        <wp:posOffset>-129206283</wp:posOffset>
                      </wp:positionV>
                      <wp:extent cx="1367155" cy="241935"/>
                      <wp:effectExtent l="0" t="0" r="23495" b="24765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241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151F02" w14:textId="77777777" w:rsidR="008C1390" w:rsidRPr="0082197C" w:rsidRDefault="008C1390" w:rsidP="0082197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ionizující záření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BFBA6D" id="Obdélník 9" o:spid="_x0000_s1026" style="position:absolute;left:0;text-align:left;margin-left:-14377.05pt;margin-top:-10173.7pt;width:107.65pt;height:1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" fillcolor="#4f81bd [3204]" strokecolor="#243f60 [1604]" strokeweight="2pt">
                      <v:textbox>
                        <w:txbxContent>
                          <w:p w14:paraId="1B151F02" w14:textId="77777777" w:rsidR="008C1390" w:rsidRPr="0082197C" w:rsidRDefault="008C1390" w:rsidP="008219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ionizující záření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2FFE08" wp14:editId="2A5B2026">
                      <wp:simplePos x="0" y="0"/>
                      <wp:positionH relativeFrom="column">
                        <wp:posOffset>-182588535</wp:posOffset>
                      </wp:positionH>
                      <wp:positionV relativeFrom="paragraph">
                        <wp:posOffset>-129744763</wp:posOffset>
                      </wp:positionV>
                      <wp:extent cx="1367155" cy="241935"/>
                      <wp:effectExtent l="0" t="0" r="23495" b="24765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155" cy="2419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A42D4E" w14:textId="77777777" w:rsidR="008C1390" w:rsidRPr="0082197C" w:rsidRDefault="008C1390" w:rsidP="0082197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2197C">
                                    <w:rPr>
                                      <w:sz w:val="18"/>
                                    </w:rPr>
                                    <w:t>Nebezpečný prostor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2FFE08" id="Obdélník 8" o:spid="_x0000_s1027" style="position:absolute;left:0;text-align:left;margin-left:-14377.05pt;margin-top:-10216.1pt;width:107.65pt;height:1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" fillcolor="#4f81bd [3204]" strokecolor="#243f60 [1604]" strokeweight="2pt">
                      <v:textbox>
                        <w:txbxContent>
                          <w:p w14:paraId="7FA42D4E" w14:textId="77777777" w:rsidR="008C1390" w:rsidRPr="0082197C" w:rsidRDefault="008C1390" w:rsidP="0082197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2197C">
                              <w:rPr>
                                <w:sz w:val="18"/>
                              </w:rPr>
                              <w:t>Nebezpečný prostor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7D5">
              <w:t>Práce, pro něž je právními předpisy vyžadována odborná nebo zvláštní odborná způsobilost</w:t>
            </w:r>
            <w:r w:rsidR="009F41D7">
              <w:t>, smí provádět pouze osob</w:t>
            </w:r>
            <w:r w:rsidR="006A0325">
              <w:t>y</w:t>
            </w:r>
            <w:r w:rsidR="006977D5">
              <w:t xml:space="preserve">, které jsou držiteli </w:t>
            </w:r>
            <w:r w:rsidR="009F41D7">
              <w:t>platn</w:t>
            </w:r>
            <w:r w:rsidR="006977D5">
              <w:t>ého dokladu</w:t>
            </w:r>
            <w:r w:rsidR="009F41D7">
              <w:t xml:space="preserve"> o </w:t>
            </w:r>
            <w:r w:rsidR="008A78D2">
              <w:t xml:space="preserve">odborné nebo zvláštní odborné </w:t>
            </w:r>
            <w:r w:rsidR="009F41D7">
              <w:t>způsobilosti.</w:t>
            </w:r>
          </w:p>
          <w:p w14:paraId="6BB4E7F0" w14:textId="7003F4D9" w:rsidR="00B246EA" w:rsidRDefault="00B246EA" w:rsidP="006E006A">
            <w:pPr>
              <w:pStyle w:val="Odstavecseseznamem"/>
              <w:numPr>
                <w:ilvl w:val="1"/>
                <w:numId w:val="7"/>
              </w:numPr>
            </w:pPr>
            <w:r>
              <w:t xml:space="preserve">Práce </w:t>
            </w:r>
            <w:r w:rsidRPr="00B246EA">
              <w:t>vyžadující zpracování technologického postupu</w:t>
            </w:r>
            <w:r w:rsidRPr="00FA58A0">
              <w:rPr>
                <w:color w:val="FF0000"/>
                <w:vertAlign w:val="superscript"/>
              </w:rPr>
              <w:t>2</w:t>
            </w:r>
            <w:r w:rsidR="00763265">
              <w:rPr>
                <w:color w:val="FF0000"/>
              </w:rPr>
              <w:t xml:space="preserve"> </w:t>
            </w:r>
            <w:r w:rsidR="00763265" w:rsidRPr="00763265">
              <w:t xml:space="preserve">a práce, pro něž byl zpracován dle </w:t>
            </w:r>
            <w:r w:rsidR="00E85226">
              <w:t>čl.</w:t>
            </w:r>
            <w:r w:rsidR="00E85226" w:rsidRPr="00763265">
              <w:t xml:space="preserve"> </w:t>
            </w:r>
            <w:r w:rsidR="00763265" w:rsidRPr="00763265">
              <w:t>6.</w:t>
            </w:r>
            <w:r w:rsidR="0090580A">
              <w:t>3</w:t>
            </w:r>
            <w:r w:rsidR="00AE6774">
              <w:t>.</w:t>
            </w:r>
            <w:r w:rsidR="00763265" w:rsidRPr="00763265">
              <w:t>6</w:t>
            </w:r>
            <w:r>
              <w:t>, smí provádět pouze osoby prokazatelně s těmito postupy seznámené</w:t>
            </w:r>
          </w:p>
          <w:p w14:paraId="1632D74E" w14:textId="77777777" w:rsidR="006977D5" w:rsidRDefault="006977D5" w:rsidP="00FA58A0"/>
          <w:p w14:paraId="70D5C970" w14:textId="77777777" w:rsidR="008F5172" w:rsidRDefault="00CC039D" w:rsidP="008F5172">
            <w:pPr>
              <w:pStyle w:val="Nadpis2"/>
            </w:pPr>
            <w:bookmarkStart w:id="6" w:name="_Toc160177402"/>
            <w:r>
              <w:t>Dokumentace</w:t>
            </w:r>
            <w:bookmarkEnd w:id="6"/>
          </w:p>
          <w:p w14:paraId="549DD36F" w14:textId="77777777" w:rsidR="00FA58A0" w:rsidRPr="00FA58A0" w:rsidRDefault="00FA58A0" w:rsidP="006E006A">
            <w:pPr>
              <w:pStyle w:val="Odstavecseseznamem"/>
              <w:numPr>
                <w:ilvl w:val="0"/>
                <w:numId w:val="7"/>
              </w:numPr>
              <w:rPr>
                <w:vanish/>
              </w:rPr>
            </w:pPr>
          </w:p>
          <w:p w14:paraId="0BE033B6" w14:textId="2B7FC14A" w:rsidR="00AB0B7F" w:rsidRDefault="00AB0B7F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 w:rsidRPr="00AB0B7F">
              <w:t xml:space="preserve">Dokumentace se vždy tvoří nejméně ve dvou identických </w:t>
            </w:r>
            <w:r w:rsidR="001E1080">
              <w:t xml:space="preserve">vyhotoveních </w:t>
            </w:r>
            <w:r w:rsidRPr="00AB0B7F">
              <w:t xml:space="preserve">(sadách), aby každá ze zúčastněných stran měla k dispozici vlastní </w:t>
            </w:r>
            <w:r w:rsidR="001E1080">
              <w:t>vyhotovení</w:t>
            </w:r>
            <w:r w:rsidR="00D65E3C">
              <w:t>, případně dohodnuté změny se musí provést ve všech existujících vyhotoveních</w:t>
            </w:r>
            <w:r w:rsidRPr="00AB0B7F">
              <w:t>.</w:t>
            </w:r>
            <w:r w:rsidR="001E1080">
              <w:t xml:space="preserve"> Záznamy o prováděných činnostech podle čl. 6.4.7 jsou vedeny pouze v jednom vyhotovení stranou provádějící danou činnost a jsou následně </w:t>
            </w:r>
            <w:r w:rsidR="006E1A2D">
              <w:t xml:space="preserve">předány </w:t>
            </w:r>
            <w:r w:rsidR="001E1080">
              <w:t>zadavateli.</w:t>
            </w:r>
          </w:p>
          <w:p w14:paraId="09AC90B5" w14:textId="0EC45801" w:rsidR="00E85226" w:rsidRDefault="00E85226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>
              <w:t>Tvoří-li dokumentaci více dokumentů (formulářů) musí být jejich souvislost a vzájemná nedílnost zajištěna prostřednictvím neopakovatelného identifikátoru, např. číselného kódu.</w:t>
            </w:r>
          </w:p>
          <w:p w14:paraId="57AC2ABA" w14:textId="4E994AF6" w:rsidR="00AB0B7F" w:rsidRPr="00AB0B7F" w:rsidRDefault="00AB0B7F" w:rsidP="006E006A">
            <w:pPr>
              <w:pStyle w:val="Odstavecseseznamem"/>
              <w:numPr>
                <w:ilvl w:val="1"/>
                <w:numId w:val="7"/>
              </w:numPr>
              <w:ind w:left="1023" w:hanging="663"/>
            </w:pPr>
            <w:r>
              <w:t>Dokumentaci tvoří</w:t>
            </w:r>
          </w:p>
          <w:p w14:paraId="45C52C01" w14:textId="2316048F" w:rsidR="008F5172" w:rsidRDefault="008F5172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 w:rsidRPr="00D0709D">
              <w:t>Povolení práce na ohlášku</w:t>
            </w:r>
            <w:r w:rsidR="008E641C" w:rsidRPr="00D0709D">
              <w:t xml:space="preserve"> –</w:t>
            </w:r>
            <w:r w:rsidR="008E641C">
              <w:t xml:space="preserve"> pro práce s nízkým rizikem dle čl. 4.</w:t>
            </w:r>
            <w:r w:rsidR="008A78D2">
              <w:t>6</w:t>
            </w:r>
            <w:r w:rsidR="008E641C">
              <w:t>, bodu a)</w:t>
            </w:r>
          </w:p>
          <w:p w14:paraId="383604AC" w14:textId="54A598E3" w:rsidR="008F5172" w:rsidRDefault="008F5172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Povolení k práci na zařízení</w:t>
            </w:r>
            <w:r w:rsidR="008E641C">
              <w:t xml:space="preserve"> – pro práce rizikové a nebezpečné dle čl.</w:t>
            </w:r>
            <w:r w:rsidR="00D0709D">
              <w:t xml:space="preserve"> </w:t>
            </w:r>
            <w:r w:rsidR="008E641C">
              <w:t>4.</w:t>
            </w:r>
            <w:r w:rsidR="008A78D2">
              <w:t>6</w:t>
            </w:r>
            <w:r w:rsidR="008E641C">
              <w:t>, bodů b) a c) kromě prací uvedených v čl. 6.</w:t>
            </w:r>
            <w:r w:rsidR="00197011">
              <w:t>3</w:t>
            </w:r>
            <w:r w:rsidR="008319E0">
              <w:t>.3</w:t>
            </w:r>
            <w:r w:rsidR="008E641C">
              <w:t xml:space="preserve"> a 6.</w:t>
            </w:r>
            <w:r w:rsidR="00197011">
              <w:t>3</w:t>
            </w:r>
            <w:r w:rsidR="008319E0">
              <w:t>.</w:t>
            </w:r>
            <w:r w:rsidR="008E641C">
              <w:t>4</w:t>
            </w:r>
          </w:p>
          <w:p w14:paraId="0B5DF9F4" w14:textId="77777777" w:rsidR="008F5172" w:rsidRDefault="008E641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 xml:space="preserve">„S“ příkaz  - </w:t>
            </w:r>
            <w:r w:rsidR="008F5172">
              <w:t xml:space="preserve">Povolení k práci vyžadující zvláštní požárně bezpečnostní opatření </w:t>
            </w:r>
          </w:p>
          <w:p w14:paraId="2F4AB359" w14:textId="77777777" w:rsidR="008F5172" w:rsidRDefault="008E641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 xml:space="preserve">„V“ příkaz  - </w:t>
            </w:r>
            <w:r w:rsidR="008F5172">
              <w:t xml:space="preserve">Povolení k práci ve výbušném prostředí </w:t>
            </w:r>
          </w:p>
          <w:p w14:paraId="5FCF2F87" w14:textId="77777777" w:rsidR="0045678C" w:rsidRDefault="00CF7BDC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Technologický postup – pro práce uvedené v čl.</w:t>
            </w:r>
            <w:r w:rsidR="00FA58A0">
              <w:t xml:space="preserve"> 5.5. </w:t>
            </w:r>
          </w:p>
          <w:p w14:paraId="2A5F31D9" w14:textId="34AF4DE7" w:rsidR="00CF7BDC" w:rsidRDefault="00FA58A0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Technologický/</w:t>
            </w:r>
            <w:r w:rsidR="00D94888">
              <w:t xml:space="preserve">Pracovní </w:t>
            </w:r>
            <w:r>
              <w:t>postup lze zpracovat a použít i pro ostatní práce dle čl. 6.</w:t>
            </w:r>
            <w:r w:rsidR="0090580A">
              <w:t>3</w:t>
            </w:r>
            <w:r w:rsidR="008319E0">
              <w:t xml:space="preserve">.1 </w:t>
            </w:r>
            <w:r>
              <w:t>- 6.</w:t>
            </w:r>
            <w:r w:rsidR="0090580A">
              <w:t>3</w:t>
            </w:r>
            <w:r w:rsidR="008319E0">
              <w:t>.</w:t>
            </w:r>
            <w:r>
              <w:t>4 opakující se za stejných podmínek na různých ČS, přičemž u prací dle čl.</w:t>
            </w:r>
            <w:r w:rsidR="00477343">
              <w:t xml:space="preserve"> </w:t>
            </w:r>
            <w:r>
              <w:t>6.</w:t>
            </w:r>
            <w:r w:rsidR="0090580A">
              <w:t>3</w:t>
            </w:r>
            <w:r w:rsidR="008319E0">
              <w:t>.3</w:t>
            </w:r>
            <w:r>
              <w:t xml:space="preserve"> a 6.</w:t>
            </w:r>
            <w:r w:rsidR="0090580A">
              <w:t>3</w:t>
            </w:r>
            <w:r w:rsidR="008319E0">
              <w:t>.4</w:t>
            </w:r>
            <w:r>
              <w:t xml:space="preserve"> musí být pokaždé vedeny předepsané záznamy </w:t>
            </w:r>
            <w:r w:rsidR="00E85226">
              <w:t>dle čl. 6.</w:t>
            </w:r>
            <w:r w:rsidR="0090580A">
              <w:t>3</w:t>
            </w:r>
            <w:r w:rsidR="00E85226">
              <w:t>.7</w:t>
            </w:r>
            <w:r w:rsidR="007907E6">
              <w:rPr>
                <w:i/>
              </w:rPr>
              <w:t xml:space="preserve"> </w:t>
            </w:r>
            <w:r w:rsidR="007907E6" w:rsidRPr="007907E6">
              <w:t>a v případě</w:t>
            </w:r>
            <w:r w:rsidR="007907E6">
              <w:t xml:space="preserve"> výskytu nezohledněných činností nebo rizik v průběhu provádění </w:t>
            </w:r>
            <w:r w:rsidR="00E85226">
              <w:t xml:space="preserve">nesmí </w:t>
            </w:r>
            <w:r w:rsidR="007907E6">
              <w:t xml:space="preserve">být práce </w:t>
            </w:r>
            <w:r w:rsidR="00E85226">
              <w:t xml:space="preserve">zahájena, </w:t>
            </w:r>
            <w:r w:rsidR="007907E6">
              <w:t>a</w:t>
            </w:r>
            <w:r w:rsidR="00E85226">
              <w:t>niž by byla</w:t>
            </w:r>
            <w:r w:rsidR="007907E6">
              <w:t xml:space="preserve"> dopracována potřebná dokumentace dle čl. 6.</w:t>
            </w:r>
            <w:r w:rsidR="0090580A">
              <w:t>3</w:t>
            </w:r>
            <w:r w:rsidR="00D0709D">
              <w:t>.</w:t>
            </w:r>
            <w:r w:rsidR="007907E6">
              <w:t>2-6.</w:t>
            </w:r>
            <w:r w:rsidR="0090580A">
              <w:t>3</w:t>
            </w:r>
            <w:r w:rsidR="00D0709D">
              <w:t>.</w:t>
            </w:r>
            <w:r w:rsidR="007907E6">
              <w:t>5 a učiněna potřebná opatření.</w:t>
            </w:r>
          </w:p>
          <w:p w14:paraId="7099A8C4" w14:textId="46D1609E" w:rsidR="00E85226" w:rsidRDefault="00E85226" w:rsidP="006E006A">
            <w:pPr>
              <w:pStyle w:val="Odstavecseseznamem"/>
              <w:numPr>
                <w:ilvl w:val="2"/>
                <w:numId w:val="9"/>
              </w:numPr>
              <w:ind w:left="1023" w:hanging="663"/>
            </w:pPr>
            <w:r>
              <w:t>Záznamy o plnění povinností stanovených dokumentací dle čl. 6.</w:t>
            </w:r>
            <w:r w:rsidR="0090580A">
              <w:t>3</w:t>
            </w:r>
            <w:r>
              <w:t>.2-6.</w:t>
            </w:r>
            <w:r w:rsidR="0090580A">
              <w:t>3</w:t>
            </w:r>
            <w:r>
              <w:t xml:space="preserve">.6, např. </w:t>
            </w:r>
            <w:r w:rsidRPr="00E85226">
              <w:t xml:space="preserve">písemné stanovení zvláštních PBO, záznamy o požárním dozoru, seznam osob v EX, záznamy o měření </w:t>
            </w:r>
            <w:r w:rsidR="00D0709D">
              <w:t>koncentrace plynů a par v ovzduší.</w:t>
            </w:r>
          </w:p>
          <w:p w14:paraId="35665679" w14:textId="466BFF70" w:rsidR="00AB0B7F" w:rsidRDefault="00AB0B7F" w:rsidP="008319E0"/>
          <w:p w14:paraId="512FBAC7" w14:textId="1BF9106B" w:rsidR="0045678C" w:rsidRDefault="0045678C" w:rsidP="0045678C">
            <w:r>
              <w:t>Vzorové dokumenty jsou uvedeny v přílohách tohoto standardu</w:t>
            </w:r>
            <w:r w:rsidR="00010DD2">
              <w:t>.</w:t>
            </w:r>
          </w:p>
          <w:p w14:paraId="3CF7ABD1" w14:textId="77777777" w:rsidR="000A3C63" w:rsidRDefault="000A3C63" w:rsidP="0045678C"/>
          <w:p w14:paraId="0FDFB049" w14:textId="77777777" w:rsidR="00CC039D" w:rsidRDefault="00CC039D" w:rsidP="00CC039D">
            <w:pPr>
              <w:pStyle w:val="Nadpis2"/>
            </w:pPr>
            <w:bookmarkStart w:id="7" w:name="_Toc160177403"/>
            <w:r>
              <w:t>Realizace</w:t>
            </w:r>
            <w:bookmarkEnd w:id="7"/>
          </w:p>
          <w:p w14:paraId="1FB009F4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6020D990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34BCB745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283C325E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48B71B30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5589B4EA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383F61E6" w14:textId="77777777" w:rsidR="00832D08" w:rsidRPr="00832D08" w:rsidRDefault="00832D08" w:rsidP="006E006A">
            <w:pPr>
              <w:pStyle w:val="Odstavecseseznamem"/>
              <w:numPr>
                <w:ilvl w:val="0"/>
                <w:numId w:val="8"/>
              </w:numPr>
              <w:rPr>
                <w:vanish/>
              </w:rPr>
            </w:pPr>
          </w:p>
          <w:p w14:paraId="5E490699" w14:textId="2F3C330A" w:rsidR="00697BA8" w:rsidRDefault="00763265" w:rsidP="006E006A">
            <w:pPr>
              <w:pStyle w:val="Odstavecseseznamem"/>
              <w:numPr>
                <w:ilvl w:val="1"/>
                <w:numId w:val="8"/>
              </w:numPr>
            </w:pPr>
            <w:r>
              <w:t xml:space="preserve">Při předání pracoviště </w:t>
            </w:r>
            <w:r w:rsidR="00E54BFF">
              <w:t>dodavatel</w:t>
            </w:r>
            <w:r w:rsidR="00E74E28">
              <w:t xml:space="preserve">i </w:t>
            </w:r>
            <w:r>
              <w:t>se zkontroluje relevance a kompletnost dokumentace</w:t>
            </w:r>
            <w:r w:rsidR="006C5F51">
              <w:t xml:space="preserve"> ve vztahu k </w:t>
            </w:r>
            <w:r>
              <w:t>aktuální</w:t>
            </w:r>
            <w:r w:rsidR="006C5F51">
              <w:t>mu</w:t>
            </w:r>
            <w:r>
              <w:t xml:space="preserve"> stav</w:t>
            </w:r>
            <w:r w:rsidR="006C5F51">
              <w:t>u</w:t>
            </w:r>
            <w:r>
              <w:t xml:space="preserve"> pracoviště, pracovních prostředků a </w:t>
            </w:r>
            <w:r>
              <w:lastRenderedPageBreak/>
              <w:t xml:space="preserve">stanovených opatření, případně splnění kvalifikačních požadavků dle </w:t>
            </w:r>
            <w:r w:rsidR="00E85226">
              <w:t xml:space="preserve">čl. </w:t>
            </w:r>
            <w:r>
              <w:t>5</w:t>
            </w:r>
            <w:r w:rsidR="00AB0B7F">
              <w:t>. Jakýkoliv nesoulad musí být napraven před zahájením práce.</w:t>
            </w:r>
          </w:p>
          <w:p w14:paraId="6F1BF8E6" w14:textId="35202C27" w:rsidR="006C5F51" w:rsidRDefault="006C5F51" w:rsidP="006E006A">
            <w:pPr>
              <w:pStyle w:val="Odstavecseseznamem"/>
              <w:numPr>
                <w:ilvl w:val="1"/>
                <w:numId w:val="8"/>
              </w:numPr>
            </w:pPr>
            <w:r>
              <w:t>Pracoviště se k zahájení práce předává vždy písemnou formou s uvedením data a času</w:t>
            </w:r>
            <w:r w:rsidR="00D65E3C">
              <w:t>, přitom musí být jednoznačně stanovena osoba zodpov</w:t>
            </w:r>
            <w:r w:rsidR="00EC0795">
              <w:t>ídající za koordinaci činností jednotlivých stran za účelem zajištění BOZP.</w:t>
            </w:r>
          </w:p>
          <w:p w14:paraId="23A15833" w14:textId="0FCA34D3" w:rsidR="00AB0B7F" w:rsidRDefault="006C5F51" w:rsidP="006E006A">
            <w:pPr>
              <w:pStyle w:val="Odstavecseseznamem"/>
              <w:numPr>
                <w:ilvl w:val="1"/>
                <w:numId w:val="8"/>
              </w:numPr>
            </w:pPr>
            <w:r>
              <w:t>Dojde-li v průběhu provádění práce ke změně v podmínkách na pracovišti mající vliv na rizika nebo přijatá opatření, musí být práce přerušena</w:t>
            </w:r>
            <w:r w:rsidR="00AB0B7F">
              <w:t xml:space="preserve"> do doby zajištění souladu fyzického stavu s</w:t>
            </w:r>
            <w:r>
              <w:t> dokumentací a nastavenými opatřeními.</w:t>
            </w:r>
            <w:r w:rsidR="00AB0B7F">
              <w:t xml:space="preserve"> Stejně se postupuje v případě zjištěného neplnění podmínek a stanovených opatření</w:t>
            </w:r>
          </w:p>
          <w:p w14:paraId="009133BD" w14:textId="20C5B1B5" w:rsidR="008C349B" w:rsidRDefault="008C349B" w:rsidP="006E006A">
            <w:pPr>
              <w:pStyle w:val="Odstavecseseznamem"/>
              <w:numPr>
                <w:ilvl w:val="1"/>
                <w:numId w:val="8"/>
              </w:numPr>
            </w:pPr>
            <w:r>
              <w:t>Dojde-li v průběhu provádění prací k mimořádné události, tzn. požáru, výbuchu, úrazu, dopravní nehodě, úniku PHL nebo jiné havárii, musí být práce přerušena a postupuje se dle dokumentace pracoviště platné pro tyto případy</w:t>
            </w:r>
            <w:r w:rsidR="009D1788">
              <w:t>.</w:t>
            </w:r>
          </w:p>
          <w:p w14:paraId="5B3F2D6A" w14:textId="37829F8A" w:rsidR="00D0709D" w:rsidRDefault="00D0709D" w:rsidP="006E006A">
            <w:pPr>
              <w:pStyle w:val="Odstavecseseznamem"/>
              <w:numPr>
                <w:ilvl w:val="1"/>
                <w:numId w:val="8"/>
              </w:numPr>
            </w:pPr>
            <w:r>
              <w:t xml:space="preserve">Při převzetí pracoviště od </w:t>
            </w:r>
            <w:r w:rsidR="00E54BFF">
              <w:t>dodavatel</w:t>
            </w:r>
            <w:r>
              <w:t xml:space="preserve">e se </w:t>
            </w:r>
            <w:r w:rsidR="00E74E28">
              <w:t xml:space="preserve">prokazatelně </w:t>
            </w:r>
            <w:r>
              <w:t xml:space="preserve">zkontroluje požadovaný stavebně technický stav pracoviště </w:t>
            </w:r>
            <w:r w:rsidR="00E74E28">
              <w:t>a nezbytná dokumentace pro bezpečné provozování zařízení.</w:t>
            </w:r>
          </w:p>
          <w:p w14:paraId="1A2640E6" w14:textId="77777777" w:rsidR="007907E6" w:rsidRPr="007907E6" w:rsidRDefault="007907E6" w:rsidP="0082197C">
            <w:pPr>
              <w:jc w:val="center"/>
            </w:pPr>
          </w:p>
          <w:p w14:paraId="48946616" w14:textId="798DF620" w:rsidR="00CC039D" w:rsidRDefault="00CC039D" w:rsidP="00CC039D">
            <w:pPr>
              <w:pStyle w:val="Nadpis2"/>
            </w:pPr>
            <w:bookmarkStart w:id="8" w:name="_Toc160177404"/>
            <w:r>
              <w:t>Závěr</w:t>
            </w:r>
            <w:bookmarkEnd w:id="8"/>
          </w:p>
          <w:p w14:paraId="5628143F" w14:textId="07608D3D" w:rsidR="00AC6FBD" w:rsidRPr="00AC6FBD" w:rsidRDefault="00AC6FBD" w:rsidP="002B0351">
            <w:r w:rsidRPr="00AC6FBD">
              <w:t xml:space="preserve">Tento standard byl sepsán jako </w:t>
            </w:r>
            <w:r w:rsidR="0090580A">
              <w:t>doporučení</w:t>
            </w:r>
            <w:r w:rsidRPr="00AC6FBD">
              <w:t xml:space="preserve"> pro </w:t>
            </w:r>
            <w:r>
              <w:t>provozovatele čerpacích stanic při zajišťování údržby, oprav a dalších dodavatelsky prováděných pracích na existujících ČS. Posk</w:t>
            </w:r>
            <w:r w:rsidRPr="00AC6FBD">
              <w:t xml:space="preserve">ytuje základní informace s cílem sjednocování uplatňované praxe s ohledem na bezpečnost </w:t>
            </w:r>
            <w:r>
              <w:t xml:space="preserve">všech zúčastněných i třetích osob. </w:t>
            </w:r>
          </w:p>
          <w:p w14:paraId="3D15DE24" w14:textId="0D93E69C" w:rsidR="00AC6FBD" w:rsidRDefault="00AC6FBD" w:rsidP="002B0351"/>
          <w:p w14:paraId="00A325DE" w14:textId="41A58D8F" w:rsidR="00AC6FBD" w:rsidRDefault="00AC6FBD" w:rsidP="00AC6FBD">
            <w:pPr>
              <w:pStyle w:val="Nadpis2"/>
            </w:pPr>
            <w:bookmarkStart w:id="9" w:name="_Toc160177405"/>
            <w:r>
              <w:t>Přílohy</w:t>
            </w:r>
            <w:bookmarkEnd w:id="9"/>
          </w:p>
          <w:p w14:paraId="28AA5821" w14:textId="77777777" w:rsidR="00010DD2" w:rsidRDefault="00AC6FBD" w:rsidP="00010DD2">
            <w:pPr>
              <w:pStyle w:val="Odstavecseseznamem"/>
            </w:pPr>
            <w:r>
              <w:t>Příloha č.1 – Povolení k práci základní</w:t>
            </w:r>
          </w:p>
          <w:bookmarkStart w:id="10" w:name="_MON_1770790590"/>
          <w:bookmarkEnd w:id="10"/>
          <w:p w14:paraId="07346D89" w14:textId="4DC77DDC" w:rsidR="00AC6FBD" w:rsidRDefault="00197011" w:rsidP="00010DD2">
            <w:pPr>
              <w:ind w:left="360"/>
            </w:pPr>
            <w:r>
              <w:object w:dxaOrig="1376" w:dyaOrig="882" w14:anchorId="5A324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55pt;height:43.9pt" o:ole="">
                  <v:imagedata r:id="rId9" o:title=""/>
                </v:shape>
                <o:OLEObject Type="Embed" ProgID="Word.Document.12" ShapeID="_x0000_i1025" DrawAspect="Icon" ObjectID="_1777715178" r:id="rId10">
                  <o:FieldCodes>\s</o:FieldCodes>
                </o:OLEObject>
              </w:object>
            </w:r>
          </w:p>
          <w:p w14:paraId="5FE984BF" w14:textId="47E8D54E" w:rsidR="00AC6FBD" w:rsidRDefault="00AC6FBD" w:rsidP="00010DD2">
            <w:pPr>
              <w:pStyle w:val="Odstavecseseznamem"/>
            </w:pPr>
            <w:r>
              <w:t>Příloha č.2 – Povolení k práci E</w:t>
            </w:r>
          </w:p>
          <w:bookmarkStart w:id="11" w:name="_MON_1770790670"/>
          <w:bookmarkEnd w:id="11"/>
          <w:p w14:paraId="4A4BF0B8" w14:textId="68D1E7F1" w:rsidR="00010DD2" w:rsidRDefault="00010DD2" w:rsidP="00010DD2">
            <w:pPr>
              <w:ind w:left="360"/>
            </w:pPr>
            <w:r>
              <w:object w:dxaOrig="1501" w:dyaOrig="986" w14:anchorId="57BC06F4">
                <v:shape id="_x0000_i1026" type="#_x0000_t75" style="width:75.45pt;height:48.9pt" o:ole="">
                  <v:imagedata r:id="rId11" o:title=""/>
                </v:shape>
                <o:OLEObject Type="Embed" ProgID="Word.Document.12" ShapeID="_x0000_i1026" DrawAspect="Icon" ObjectID="_1777715179" r:id="rId12">
                  <o:FieldCodes>\s</o:FieldCodes>
                </o:OLEObject>
              </w:object>
            </w:r>
          </w:p>
          <w:p w14:paraId="502647CC" w14:textId="104381BA" w:rsidR="00AC6FBD" w:rsidRDefault="00AC6FBD" w:rsidP="00010DD2">
            <w:pPr>
              <w:pStyle w:val="Odstavecseseznamem"/>
            </w:pPr>
            <w:r>
              <w:t>Příloha č.3 – Povolení k práci F – „S“ příkaz</w:t>
            </w:r>
          </w:p>
          <w:bookmarkStart w:id="12" w:name="_MON_1770790777"/>
          <w:bookmarkEnd w:id="12"/>
          <w:p w14:paraId="08D4663C" w14:textId="19FCAC44" w:rsidR="00010DD2" w:rsidRDefault="000A3C63" w:rsidP="000A3C63">
            <w:pPr>
              <w:ind w:left="360"/>
            </w:pPr>
            <w:r>
              <w:object w:dxaOrig="1501" w:dyaOrig="986" w14:anchorId="0D697889">
                <v:shape id="_x0000_i1027" type="#_x0000_t75" style="width:75.45pt;height:48.9pt" o:ole="">
                  <v:imagedata r:id="rId13" o:title=""/>
                </v:shape>
                <o:OLEObject Type="Embed" ProgID="Word.Document.12" ShapeID="_x0000_i1027" DrawAspect="Icon" ObjectID="_1777715180" r:id="rId14">
                  <o:FieldCodes>\s</o:FieldCodes>
                </o:OLEObject>
              </w:object>
            </w:r>
          </w:p>
          <w:p w14:paraId="07194F37" w14:textId="24E6DEBA" w:rsidR="00AC6FBD" w:rsidRDefault="00AC6FBD" w:rsidP="00010DD2">
            <w:pPr>
              <w:pStyle w:val="Odstavecseseznamem"/>
            </w:pPr>
            <w:r>
              <w:t>Příloha č.4 – Povolení k práci G – „V“ příkaz</w:t>
            </w:r>
          </w:p>
          <w:bookmarkStart w:id="13" w:name="_MON_1771044595"/>
          <w:bookmarkEnd w:id="13"/>
          <w:p w14:paraId="47FB54B2" w14:textId="35B619C0" w:rsidR="000A3C63" w:rsidRDefault="00597E4E" w:rsidP="000A3C63">
            <w:pPr>
              <w:ind w:left="360"/>
            </w:pPr>
            <w:r>
              <w:object w:dxaOrig="1532" w:dyaOrig="991" w14:anchorId="26069AD1">
                <v:shape id="_x0000_i1028" type="#_x0000_t75" style="width:76.25pt;height:49.3pt" o:ole="">
                  <v:imagedata r:id="rId15" o:title=""/>
                </v:shape>
                <o:OLEObject Type="Embed" ProgID="Word.Document.12" ShapeID="_x0000_i1028" DrawAspect="Icon" ObjectID="_1777715181" r:id="rId16">
                  <o:FieldCodes>\s</o:FieldCodes>
                </o:OLEObject>
              </w:object>
            </w:r>
          </w:p>
          <w:p w14:paraId="370BE852" w14:textId="0A4196C1" w:rsidR="00AC6FBD" w:rsidRDefault="00AC6FBD" w:rsidP="00010DD2">
            <w:pPr>
              <w:pStyle w:val="Odstavecseseznamem"/>
            </w:pPr>
            <w:r>
              <w:t>Příloha č.5 – Povolení k práci H – stísněné prostory</w:t>
            </w:r>
          </w:p>
          <w:bookmarkStart w:id="14" w:name="_MON_1770791051"/>
          <w:bookmarkEnd w:id="14"/>
          <w:p w14:paraId="11413126" w14:textId="47D84E45" w:rsidR="000A3C63" w:rsidRDefault="000A3C63" w:rsidP="000A3C63">
            <w:pPr>
              <w:ind w:left="360"/>
            </w:pPr>
            <w:r>
              <w:object w:dxaOrig="1501" w:dyaOrig="986" w14:anchorId="503F833C">
                <v:shape id="_x0000_i1029" type="#_x0000_t75" style="width:75.45pt;height:48.9pt" o:ole="">
                  <v:imagedata r:id="rId17" o:title=""/>
                </v:shape>
                <o:OLEObject Type="Embed" ProgID="Word.Document.12" ShapeID="_x0000_i1029" DrawAspect="Icon" ObjectID="_1777715182" r:id="rId18">
                  <o:FieldCodes>\s</o:FieldCodes>
                </o:OLEObject>
              </w:object>
            </w:r>
          </w:p>
          <w:p w14:paraId="71246DE0" w14:textId="710D84AB" w:rsidR="00AC6FBD" w:rsidRDefault="00AC6FBD" w:rsidP="00010DD2">
            <w:pPr>
              <w:pStyle w:val="Odstavecseseznamem"/>
            </w:pPr>
            <w:r>
              <w:t>Příloha č.6 – formulář Technologický postup</w:t>
            </w:r>
            <w:r w:rsidR="002B0351">
              <w:t>/ Pracovní postup</w:t>
            </w:r>
          </w:p>
          <w:bookmarkStart w:id="15" w:name="_MON_1770791101"/>
          <w:bookmarkEnd w:id="15"/>
          <w:p w14:paraId="2EA798F8" w14:textId="1E6A0669" w:rsidR="000A3C63" w:rsidRDefault="000A3C63" w:rsidP="000A3C63">
            <w:pPr>
              <w:ind w:left="360"/>
            </w:pPr>
            <w:r>
              <w:object w:dxaOrig="1501" w:dyaOrig="986" w14:anchorId="6484B1C6">
                <v:shape id="_x0000_i1030" type="#_x0000_t75" style="width:75.45pt;height:48.9pt" o:ole="">
                  <v:imagedata r:id="rId19" o:title=""/>
                </v:shape>
                <o:OLEObject Type="Embed" ProgID="Word.Document.12" ShapeID="_x0000_i1030" DrawAspect="Icon" ObjectID="_1777715183" r:id="rId20">
                  <o:FieldCodes>\s</o:FieldCodes>
                </o:OLEObject>
              </w:object>
            </w:r>
          </w:p>
          <w:p w14:paraId="001D2C1E" w14:textId="77777777" w:rsidR="006B0EC5" w:rsidRPr="00223248" w:rsidRDefault="006B0EC5" w:rsidP="00CC039D"/>
        </w:tc>
      </w:tr>
    </w:tbl>
    <w:p w14:paraId="35BC8888" w14:textId="45923E32" w:rsidR="00C87DEE" w:rsidRPr="00F0478A" w:rsidRDefault="00C87DEE" w:rsidP="002877F2"/>
    <w:sectPr w:rsidR="00C87DEE" w:rsidRPr="00F0478A" w:rsidSect="000A3C63">
      <w:footerReference w:type="default" r:id="rId21"/>
      <w:type w:val="continuous"/>
      <w:pgSz w:w="11906" w:h="16838"/>
      <w:pgMar w:top="992" w:right="1418" w:bottom="993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3CE9" w14:textId="77777777" w:rsidR="0035118F" w:rsidRDefault="0035118F" w:rsidP="004F466A">
      <w:r>
        <w:separator/>
      </w:r>
    </w:p>
  </w:endnote>
  <w:endnote w:type="continuationSeparator" w:id="0">
    <w:p w14:paraId="35FBFE2A" w14:textId="77777777" w:rsidR="0035118F" w:rsidRDefault="0035118F" w:rsidP="004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2877F2" w:rsidRPr="00F0478A" w14:paraId="4755D4AC" w14:textId="77777777" w:rsidTr="00CD289E">
      <w:tc>
        <w:tcPr>
          <w:tcW w:w="2303" w:type="dxa"/>
          <w:shd w:val="clear" w:color="auto" w:fill="auto"/>
        </w:tcPr>
        <w:p w14:paraId="0EE0797C" w14:textId="77777777" w:rsidR="002877F2" w:rsidRPr="00F0478A" w:rsidRDefault="002877F2" w:rsidP="004F466A">
          <w:r w:rsidRPr="00F0478A">
            <w:t>Strana</w:t>
          </w:r>
        </w:p>
      </w:tc>
      <w:tc>
        <w:tcPr>
          <w:tcW w:w="2303" w:type="dxa"/>
          <w:shd w:val="clear" w:color="auto" w:fill="auto"/>
        </w:tcPr>
        <w:p w14:paraId="54A139A0" w14:textId="568592C0" w:rsidR="002877F2" w:rsidRPr="00F0478A" w:rsidRDefault="002877F2" w:rsidP="004F466A">
          <w:r w:rsidRPr="000256DF">
            <w:fldChar w:fldCharType="begin"/>
          </w:r>
          <w:r w:rsidRPr="000256DF">
            <w:instrText>PAGE   \* MERGEFORMAT</w:instrText>
          </w:r>
          <w:r w:rsidRPr="000256DF">
            <w:fldChar w:fldCharType="separate"/>
          </w:r>
          <w:r w:rsidR="00197011">
            <w:rPr>
              <w:noProof/>
            </w:rPr>
            <w:t>3</w:t>
          </w:r>
          <w:r w:rsidRPr="000256DF">
            <w:fldChar w:fldCharType="end"/>
          </w:r>
        </w:p>
      </w:tc>
      <w:tc>
        <w:tcPr>
          <w:tcW w:w="2303" w:type="dxa"/>
          <w:shd w:val="clear" w:color="auto" w:fill="auto"/>
        </w:tcPr>
        <w:p w14:paraId="482C9614" w14:textId="77777777" w:rsidR="002877F2" w:rsidRPr="00F0478A" w:rsidRDefault="002877F2" w:rsidP="004F466A">
          <w:r w:rsidRPr="00F0478A">
            <w:t>Celkem stran</w:t>
          </w:r>
        </w:p>
      </w:tc>
      <w:tc>
        <w:tcPr>
          <w:tcW w:w="2303" w:type="dxa"/>
          <w:shd w:val="clear" w:color="auto" w:fill="auto"/>
        </w:tcPr>
        <w:p w14:paraId="718646C5" w14:textId="02C9C118" w:rsidR="002877F2" w:rsidRPr="004F466A" w:rsidRDefault="000A3C63" w:rsidP="004F466A">
          <w:pPr>
            <w:rPr>
              <w:highlight w:val="yellow"/>
            </w:rPr>
          </w:pPr>
          <w:r w:rsidRPr="000A3C63">
            <w:t>4</w:t>
          </w:r>
        </w:p>
      </w:tc>
    </w:tr>
  </w:tbl>
  <w:p w14:paraId="42CCB3E9" w14:textId="77777777" w:rsidR="002877F2" w:rsidRDefault="002877F2" w:rsidP="004F4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E74E" w14:textId="77777777" w:rsidR="0035118F" w:rsidRDefault="0035118F" w:rsidP="004F466A">
      <w:r>
        <w:separator/>
      </w:r>
    </w:p>
  </w:footnote>
  <w:footnote w:type="continuationSeparator" w:id="0">
    <w:p w14:paraId="4E1F9CF9" w14:textId="77777777" w:rsidR="0035118F" w:rsidRDefault="0035118F" w:rsidP="004F466A">
      <w:r>
        <w:continuationSeparator/>
      </w:r>
    </w:p>
  </w:footnote>
  <w:footnote w:id="1">
    <w:p w14:paraId="4531EC2D" w14:textId="77777777" w:rsidR="00DB4FA9" w:rsidRDefault="00DB4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0325">
        <w:rPr>
          <w:sz w:val="16"/>
        </w:rPr>
        <w:t>V</w:t>
      </w:r>
      <w:r w:rsidR="006A0325" w:rsidRPr="006A0325">
        <w:rPr>
          <w:sz w:val="16"/>
        </w:rPr>
        <w:t>yhl.</w:t>
      </w:r>
      <w:r w:rsidRPr="006A0325">
        <w:rPr>
          <w:sz w:val="16"/>
        </w:rPr>
        <w:t xml:space="preserve"> MV č.87/2000 Sb.</w:t>
      </w:r>
    </w:p>
  </w:footnote>
  <w:footnote w:id="2">
    <w:p w14:paraId="273E48B9" w14:textId="77777777" w:rsidR="00DB4FA9" w:rsidRDefault="00DB4F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77D5" w:rsidRPr="006A0325">
        <w:rPr>
          <w:sz w:val="16"/>
        </w:rPr>
        <w:t>NV č.591/2006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2CCC"/>
    <w:multiLevelType w:val="hybridMultilevel"/>
    <w:tmpl w:val="E44616D8"/>
    <w:lvl w:ilvl="0" w:tplc="B9CA1F86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7450"/>
    <w:multiLevelType w:val="multilevel"/>
    <w:tmpl w:val="91F85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AF6A8B"/>
    <w:multiLevelType w:val="multilevel"/>
    <w:tmpl w:val="67C46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7F477C"/>
    <w:multiLevelType w:val="hybridMultilevel"/>
    <w:tmpl w:val="2FB49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999"/>
    <w:multiLevelType w:val="multilevel"/>
    <w:tmpl w:val="57C2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2500545"/>
    <w:multiLevelType w:val="hybridMultilevel"/>
    <w:tmpl w:val="B310F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A1782"/>
    <w:multiLevelType w:val="hybridMultilevel"/>
    <w:tmpl w:val="524C89D4"/>
    <w:lvl w:ilvl="0" w:tplc="407A170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449BC"/>
    <w:multiLevelType w:val="multilevel"/>
    <w:tmpl w:val="7604DE9A"/>
    <w:lvl w:ilvl="0">
      <w:start w:val="1"/>
      <w:numFmt w:val="decimal"/>
      <w:pStyle w:val="Bezmez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C75B5A"/>
    <w:multiLevelType w:val="multilevel"/>
    <w:tmpl w:val="67C46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A8A0D10"/>
    <w:multiLevelType w:val="multilevel"/>
    <w:tmpl w:val="0712A5E8"/>
    <w:lvl w:ilvl="0">
      <w:start w:val="1"/>
      <w:numFmt w:val="none"/>
      <w:lvlText w:val="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222669">
    <w:abstractNumId w:val="7"/>
  </w:num>
  <w:num w:numId="2" w16cid:durableId="528418268">
    <w:abstractNumId w:val="6"/>
  </w:num>
  <w:num w:numId="3" w16cid:durableId="1568109521">
    <w:abstractNumId w:val="0"/>
  </w:num>
  <w:num w:numId="4" w16cid:durableId="1086878622">
    <w:abstractNumId w:val="3"/>
  </w:num>
  <w:num w:numId="5" w16cid:durableId="1023896900">
    <w:abstractNumId w:val="1"/>
  </w:num>
  <w:num w:numId="6" w16cid:durableId="1528835429">
    <w:abstractNumId w:val="9"/>
  </w:num>
  <w:num w:numId="7" w16cid:durableId="669333693">
    <w:abstractNumId w:val="8"/>
  </w:num>
  <w:num w:numId="8" w16cid:durableId="569467825">
    <w:abstractNumId w:val="2"/>
  </w:num>
  <w:num w:numId="9" w16cid:durableId="49225763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1046681477">
    <w:abstractNumId w:val="4"/>
  </w:num>
  <w:num w:numId="11" w16cid:durableId="20806649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5590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1045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6860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3177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849177">
    <w:abstractNumId w:val="5"/>
  </w:num>
  <w:num w:numId="17" w16cid:durableId="122725803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3D"/>
    <w:rsid w:val="00010DD2"/>
    <w:rsid w:val="000169A5"/>
    <w:rsid w:val="000256DF"/>
    <w:rsid w:val="00035FE2"/>
    <w:rsid w:val="00064A5C"/>
    <w:rsid w:val="0007337D"/>
    <w:rsid w:val="000767ED"/>
    <w:rsid w:val="00083167"/>
    <w:rsid w:val="000834B9"/>
    <w:rsid w:val="00083EF3"/>
    <w:rsid w:val="00095247"/>
    <w:rsid w:val="000A0EFB"/>
    <w:rsid w:val="000A3C63"/>
    <w:rsid w:val="000A61AC"/>
    <w:rsid w:val="000B4F79"/>
    <w:rsid w:val="000C0B50"/>
    <w:rsid w:val="000C492C"/>
    <w:rsid w:val="000E1612"/>
    <w:rsid w:val="00107173"/>
    <w:rsid w:val="00113E75"/>
    <w:rsid w:val="001142F9"/>
    <w:rsid w:val="001324A0"/>
    <w:rsid w:val="00144172"/>
    <w:rsid w:val="00177C40"/>
    <w:rsid w:val="001801FC"/>
    <w:rsid w:val="00196971"/>
    <w:rsid w:val="00197011"/>
    <w:rsid w:val="001A55A9"/>
    <w:rsid w:val="001B4A5A"/>
    <w:rsid w:val="001D49F3"/>
    <w:rsid w:val="001E1080"/>
    <w:rsid w:val="001F5D56"/>
    <w:rsid w:val="00206877"/>
    <w:rsid w:val="00210415"/>
    <w:rsid w:val="0021215C"/>
    <w:rsid w:val="00222CF2"/>
    <w:rsid w:val="00223248"/>
    <w:rsid w:val="00276FA1"/>
    <w:rsid w:val="00283C6B"/>
    <w:rsid w:val="002877F2"/>
    <w:rsid w:val="002A2444"/>
    <w:rsid w:val="002A57BE"/>
    <w:rsid w:val="002A7E9C"/>
    <w:rsid w:val="002B0351"/>
    <w:rsid w:val="002B051F"/>
    <w:rsid w:val="002B7622"/>
    <w:rsid w:val="002D50DD"/>
    <w:rsid w:val="002E2EA2"/>
    <w:rsid w:val="002E33BF"/>
    <w:rsid w:val="002F06E1"/>
    <w:rsid w:val="002F1C0C"/>
    <w:rsid w:val="002F2A4F"/>
    <w:rsid w:val="00305B57"/>
    <w:rsid w:val="003070F0"/>
    <w:rsid w:val="003164BD"/>
    <w:rsid w:val="00316EAB"/>
    <w:rsid w:val="00331FC3"/>
    <w:rsid w:val="00333CD0"/>
    <w:rsid w:val="00334251"/>
    <w:rsid w:val="003370D3"/>
    <w:rsid w:val="00337C26"/>
    <w:rsid w:val="0034536C"/>
    <w:rsid w:val="00346ED3"/>
    <w:rsid w:val="0035118F"/>
    <w:rsid w:val="00367A4B"/>
    <w:rsid w:val="0037131F"/>
    <w:rsid w:val="00373F19"/>
    <w:rsid w:val="003772BF"/>
    <w:rsid w:val="00382794"/>
    <w:rsid w:val="00386AD3"/>
    <w:rsid w:val="0039547F"/>
    <w:rsid w:val="003B01FE"/>
    <w:rsid w:val="003B4513"/>
    <w:rsid w:val="004021E4"/>
    <w:rsid w:val="004033C5"/>
    <w:rsid w:val="00407084"/>
    <w:rsid w:val="00407398"/>
    <w:rsid w:val="00414F36"/>
    <w:rsid w:val="00442504"/>
    <w:rsid w:val="0045678C"/>
    <w:rsid w:val="004621F3"/>
    <w:rsid w:val="004675EA"/>
    <w:rsid w:val="0047507E"/>
    <w:rsid w:val="00477343"/>
    <w:rsid w:val="004808AF"/>
    <w:rsid w:val="004A0D01"/>
    <w:rsid w:val="004A2730"/>
    <w:rsid w:val="004B0624"/>
    <w:rsid w:val="004B3889"/>
    <w:rsid w:val="004B7861"/>
    <w:rsid w:val="004D39D1"/>
    <w:rsid w:val="004D5FE9"/>
    <w:rsid w:val="004E7718"/>
    <w:rsid w:val="004F466A"/>
    <w:rsid w:val="004F51E4"/>
    <w:rsid w:val="004F686D"/>
    <w:rsid w:val="00513B47"/>
    <w:rsid w:val="00514BD1"/>
    <w:rsid w:val="00522432"/>
    <w:rsid w:val="00526EC1"/>
    <w:rsid w:val="00531AEE"/>
    <w:rsid w:val="00542F3E"/>
    <w:rsid w:val="00575B79"/>
    <w:rsid w:val="00582D15"/>
    <w:rsid w:val="005854A0"/>
    <w:rsid w:val="00595286"/>
    <w:rsid w:val="00596687"/>
    <w:rsid w:val="00597E4E"/>
    <w:rsid w:val="005A1D6A"/>
    <w:rsid w:val="005A415B"/>
    <w:rsid w:val="005B6273"/>
    <w:rsid w:val="005C31E3"/>
    <w:rsid w:val="005D3301"/>
    <w:rsid w:val="005F5952"/>
    <w:rsid w:val="005F636A"/>
    <w:rsid w:val="006100E0"/>
    <w:rsid w:val="00612996"/>
    <w:rsid w:val="0063183C"/>
    <w:rsid w:val="00631C35"/>
    <w:rsid w:val="0063334A"/>
    <w:rsid w:val="00633D90"/>
    <w:rsid w:val="0065268D"/>
    <w:rsid w:val="00656F22"/>
    <w:rsid w:val="00672228"/>
    <w:rsid w:val="0067463D"/>
    <w:rsid w:val="006977D5"/>
    <w:rsid w:val="00697BA8"/>
    <w:rsid w:val="006A0325"/>
    <w:rsid w:val="006B0EC5"/>
    <w:rsid w:val="006B2D83"/>
    <w:rsid w:val="006C5F51"/>
    <w:rsid w:val="006D0228"/>
    <w:rsid w:val="006D7B60"/>
    <w:rsid w:val="006E006A"/>
    <w:rsid w:val="006E1A2D"/>
    <w:rsid w:val="00701519"/>
    <w:rsid w:val="0071529E"/>
    <w:rsid w:val="0071649F"/>
    <w:rsid w:val="00725A3F"/>
    <w:rsid w:val="00734759"/>
    <w:rsid w:val="00746D53"/>
    <w:rsid w:val="00751426"/>
    <w:rsid w:val="00756240"/>
    <w:rsid w:val="00763265"/>
    <w:rsid w:val="007907E6"/>
    <w:rsid w:val="007C6DA5"/>
    <w:rsid w:val="007E0EFC"/>
    <w:rsid w:val="00812FD4"/>
    <w:rsid w:val="00813D5E"/>
    <w:rsid w:val="0081520A"/>
    <w:rsid w:val="0082197C"/>
    <w:rsid w:val="00822CB9"/>
    <w:rsid w:val="008319E0"/>
    <w:rsid w:val="00832D08"/>
    <w:rsid w:val="00840744"/>
    <w:rsid w:val="00845593"/>
    <w:rsid w:val="00850DA2"/>
    <w:rsid w:val="00865677"/>
    <w:rsid w:val="0087073F"/>
    <w:rsid w:val="0089276A"/>
    <w:rsid w:val="0089572C"/>
    <w:rsid w:val="008A78D2"/>
    <w:rsid w:val="008B0C11"/>
    <w:rsid w:val="008B59D8"/>
    <w:rsid w:val="008B7FC6"/>
    <w:rsid w:val="008C1390"/>
    <w:rsid w:val="008C349B"/>
    <w:rsid w:val="008D260B"/>
    <w:rsid w:val="008E641C"/>
    <w:rsid w:val="008E6BA3"/>
    <w:rsid w:val="008F5172"/>
    <w:rsid w:val="0090580A"/>
    <w:rsid w:val="009164A3"/>
    <w:rsid w:val="009230CE"/>
    <w:rsid w:val="00923317"/>
    <w:rsid w:val="00925D15"/>
    <w:rsid w:val="00936529"/>
    <w:rsid w:val="00943BF0"/>
    <w:rsid w:val="00950027"/>
    <w:rsid w:val="009613B0"/>
    <w:rsid w:val="00962185"/>
    <w:rsid w:val="0096499C"/>
    <w:rsid w:val="00972DF1"/>
    <w:rsid w:val="00977424"/>
    <w:rsid w:val="00981DF1"/>
    <w:rsid w:val="009854B7"/>
    <w:rsid w:val="00987CD2"/>
    <w:rsid w:val="009907F8"/>
    <w:rsid w:val="009A0E3D"/>
    <w:rsid w:val="009A2069"/>
    <w:rsid w:val="009A6A23"/>
    <w:rsid w:val="009B1280"/>
    <w:rsid w:val="009B3583"/>
    <w:rsid w:val="009C19D6"/>
    <w:rsid w:val="009C1FD5"/>
    <w:rsid w:val="009C5F72"/>
    <w:rsid w:val="009C7F06"/>
    <w:rsid w:val="009D1788"/>
    <w:rsid w:val="009D2D24"/>
    <w:rsid w:val="009E0C90"/>
    <w:rsid w:val="009F0C37"/>
    <w:rsid w:val="009F2D28"/>
    <w:rsid w:val="009F41D7"/>
    <w:rsid w:val="009F4A7B"/>
    <w:rsid w:val="00A06A62"/>
    <w:rsid w:val="00A20B59"/>
    <w:rsid w:val="00A21375"/>
    <w:rsid w:val="00A6147A"/>
    <w:rsid w:val="00A6428E"/>
    <w:rsid w:val="00A66A1D"/>
    <w:rsid w:val="00AA5116"/>
    <w:rsid w:val="00AA5D5D"/>
    <w:rsid w:val="00AA778E"/>
    <w:rsid w:val="00AB0B7F"/>
    <w:rsid w:val="00AB4FDD"/>
    <w:rsid w:val="00AC6FBD"/>
    <w:rsid w:val="00AD320A"/>
    <w:rsid w:val="00AE6774"/>
    <w:rsid w:val="00AF41CA"/>
    <w:rsid w:val="00B0234B"/>
    <w:rsid w:val="00B06C59"/>
    <w:rsid w:val="00B10AA3"/>
    <w:rsid w:val="00B246EA"/>
    <w:rsid w:val="00B30AD8"/>
    <w:rsid w:val="00B44131"/>
    <w:rsid w:val="00B639BB"/>
    <w:rsid w:val="00B64245"/>
    <w:rsid w:val="00B65A0B"/>
    <w:rsid w:val="00B836FF"/>
    <w:rsid w:val="00B91AA4"/>
    <w:rsid w:val="00B91C79"/>
    <w:rsid w:val="00B96674"/>
    <w:rsid w:val="00BC38B3"/>
    <w:rsid w:val="00BC7484"/>
    <w:rsid w:val="00BD3286"/>
    <w:rsid w:val="00BD52BF"/>
    <w:rsid w:val="00C0326D"/>
    <w:rsid w:val="00C069F3"/>
    <w:rsid w:val="00C15E1B"/>
    <w:rsid w:val="00C3176A"/>
    <w:rsid w:val="00C37014"/>
    <w:rsid w:val="00C5150D"/>
    <w:rsid w:val="00C522FD"/>
    <w:rsid w:val="00C52ED4"/>
    <w:rsid w:val="00C758C8"/>
    <w:rsid w:val="00C86CED"/>
    <w:rsid w:val="00C87DEE"/>
    <w:rsid w:val="00CC039D"/>
    <w:rsid w:val="00CC7CF2"/>
    <w:rsid w:val="00CD0C08"/>
    <w:rsid w:val="00CD1FCB"/>
    <w:rsid w:val="00CD289E"/>
    <w:rsid w:val="00CD5ECC"/>
    <w:rsid w:val="00CF3F73"/>
    <w:rsid w:val="00CF7BDC"/>
    <w:rsid w:val="00D0709D"/>
    <w:rsid w:val="00D10CED"/>
    <w:rsid w:val="00D26C92"/>
    <w:rsid w:val="00D34BEE"/>
    <w:rsid w:val="00D40310"/>
    <w:rsid w:val="00D416E8"/>
    <w:rsid w:val="00D43872"/>
    <w:rsid w:val="00D501EC"/>
    <w:rsid w:val="00D64ADA"/>
    <w:rsid w:val="00D65E3C"/>
    <w:rsid w:val="00D76B86"/>
    <w:rsid w:val="00D81F2B"/>
    <w:rsid w:val="00D90F21"/>
    <w:rsid w:val="00D91028"/>
    <w:rsid w:val="00D94888"/>
    <w:rsid w:val="00D94DC5"/>
    <w:rsid w:val="00D96545"/>
    <w:rsid w:val="00DA43B1"/>
    <w:rsid w:val="00DB4FA9"/>
    <w:rsid w:val="00DB78E2"/>
    <w:rsid w:val="00DC2FBA"/>
    <w:rsid w:val="00DD3070"/>
    <w:rsid w:val="00DE3248"/>
    <w:rsid w:val="00DE427D"/>
    <w:rsid w:val="00E27C26"/>
    <w:rsid w:val="00E308A3"/>
    <w:rsid w:val="00E40377"/>
    <w:rsid w:val="00E41D8F"/>
    <w:rsid w:val="00E46F28"/>
    <w:rsid w:val="00E54BFF"/>
    <w:rsid w:val="00E625FF"/>
    <w:rsid w:val="00E645A5"/>
    <w:rsid w:val="00E7342D"/>
    <w:rsid w:val="00E74E28"/>
    <w:rsid w:val="00E85226"/>
    <w:rsid w:val="00E90157"/>
    <w:rsid w:val="00E905BB"/>
    <w:rsid w:val="00E91B0F"/>
    <w:rsid w:val="00E923CA"/>
    <w:rsid w:val="00E9573E"/>
    <w:rsid w:val="00EB0892"/>
    <w:rsid w:val="00EB661C"/>
    <w:rsid w:val="00EC0795"/>
    <w:rsid w:val="00ED0FEF"/>
    <w:rsid w:val="00ED3047"/>
    <w:rsid w:val="00ED59A9"/>
    <w:rsid w:val="00ED7C48"/>
    <w:rsid w:val="00EF5919"/>
    <w:rsid w:val="00EF64E4"/>
    <w:rsid w:val="00F0478A"/>
    <w:rsid w:val="00F0634F"/>
    <w:rsid w:val="00F07338"/>
    <w:rsid w:val="00F371BD"/>
    <w:rsid w:val="00F467BF"/>
    <w:rsid w:val="00F62366"/>
    <w:rsid w:val="00F90039"/>
    <w:rsid w:val="00F953D0"/>
    <w:rsid w:val="00FA28E1"/>
    <w:rsid w:val="00FA3DC3"/>
    <w:rsid w:val="00FA44A8"/>
    <w:rsid w:val="00FA58A0"/>
    <w:rsid w:val="00FC64BA"/>
    <w:rsid w:val="00FE48F4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14EEA"/>
  <w15:docId w15:val="{82ACE37D-10A5-4917-848B-1C72967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Times New Roman" w:hAnsi="Franklin Gothic Book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66A"/>
    <w:pPr>
      <w:contextualSpacing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466A"/>
    <w:pPr>
      <w:outlineLvl w:val="0"/>
    </w:pPr>
    <w:rPr>
      <w:b/>
    </w:rPr>
  </w:style>
  <w:style w:type="paragraph" w:styleId="Nadpis2">
    <w:name w:val="heading 2"/>
    <w:aliases w:val="Číslovaný článek"/>
    <w:basedOn w:val="Nadpis1"/>
    <w:next w:val="Normln"/>
    <w:link w:val="Nadpis2Char"/>
    <w:uiPriority w:val="9"/>
    <w:unhideWhenUsed/>
    <w:qFormat/>
    <w:rsid w:val="00CC039D"/>
    <w:pPr>
      <w:numPr>
        <w:numId w:val="2"/>
      </w:numPr>
      <w:spacing w:after="240"/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rsid w:val="00ED7C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46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463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aliases w:val="Odrážky"/>
    <w:basedOn w:val="Normln"/>
    <w:uiPriority w:val="34"/>
    <w:qFormat/>
    <w:rsid w:val="001F5D56"/>
    <w:pPr>
      <w:numPr>
        <w:numId w:val="3"/>
      </w:numPr>
    </w:pPr>
  </w:style>
  <w:style w:type="paragraph" w:styleId="Zhlav">
    <w:name w:val="header"/>
    <w:basedOn w:val="Normln"/>
    <w:link w:val="ZhlavChar"/>
    <w:unhideWhenUsed/>
    <w:rsid w:val="004621F3"/>
    <w:pPr>
      <w:tabs>
        <w:tab w:val="left" w:pos="0"/>
        <w:tab w:val="center" w:pos="4536"/>
        <w:tab w:val="right" w:pos="9072"/>
      </w:tabs>
      <w:suppressAutoHyphens/>
    </w:pPr>
    <w:rPr>
      <w:rFonts w:ascii="Times New Roman" w:hAnsi="Times New Roman" w:cs="Tahoma"/>
      <w:sz w:val="32"/>
      <w:szCs w:val="24"/>
      <w:lang w:eastAsia="en-US"/>
    </w:rPr>
  </w:style>
  <w:style w:type="character" w:customStyle="1" w:styleId="ZhlavChar">
    <w:name w:val="Záhlaví Char"/>
    <w:link w:val="Zhlav"/>
    <w:rsid w:val="004621F3"/>
    <w:rPr>
      <w:rFonts w:ascii="Times New Roman" w:hAnsi="Times New Roman" w:cs="Tahoma"/>
      <w:sz w:val="32"/>
      <w:szCs w:val="24"/>
      <w:lang w:val="cs-CZ"/>
    </w:rPr>
  </w:style>
  <w:style w:type="paragraph" w:customStyle="1" w:styleId="ListParagraph1">
    <w:name w:val="List Paragraph1"/>
    <w:basedOn w:val="Normln"/>
    <w:uiPriority w:val="34"/>
    <w:rsid w:val="004621F3"/>
    <w:pPr>
      <w:ind w:left="720"/>
    </w:pPr>
    <w:rPr>
      <w:rFonts w:ascii="Calibri" w:eastAsia="Calibri" w:hAnsi="Calibri"/>
      <w:lang w:val="en-US" w:eastAsia="en-US"/>
    </w:rPr>
  </w:style>
  <w:style w:type="character" w:customStyle="1" w:styleId="hps">
    <w:name w:val="hps"/>
    <w:rsid w:val="0034536C"/>
  </w:style>
  <w:style w:type="paragraph" w:customStyle="1" w:styleId="Zkladntextodsazen31">
    <w:name w:val="Základní text odsazený 31"/>
    <w:basedOn w:val="Normln"/>
    <w:rsid w:val="00B91AA4"/>
    <w:pPr>
      <w:spacing w:before="60"/>
      <w:ind w:left="567" w:firstLine="709"/>
      <w:jc w:val="both"/>
    </w:pPr>
  </w:style>
  <w:style w:type="character" w:styleId="Odkaznakoment">
    <w:name w:val="annotation reference"/>
    <w:uiPriority w:val="99"/>
    <w:semiHidden/>
    <w:unhideWhenUsed/>
    <w:rsid w:val="00E308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8A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8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8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8A3"/>
    <w:rPr>
      <w:b/>
      <w:bCs/>
    </w:rPr>
  </w:style>
  <w:style w:type="paragraph" w:customStyle="1" w:styleId="Odstavecseseznamem1">
    <w:name w:val="Odstavec se seznamem1"/>
    <w:basedOn w:val="Normln"/>
    <w:uiPriority w:val="34"/>
    <w:qFormat/>
    <w:rsid w:val="00C15E1B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0256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56DF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F466A"/>
    <w:rPr>
      <w:rFonts w:ascii="Arial" w:hAnsi="Arial" w:cs="Arial"/>
      <w:b/>
      <w:sz w:val="22"/>
      <w:szCs w:val="22"/>
    </w:rPr>
  </w:style>
  <w:style w:type="paragraph" w:styleId="Bezmezer">
    <w:name w:val="No Spacing"/>
    <w:aliases w:val="Číslovaný text"/>
    <w:basedOn w:val="Odstavecseseznamem"/>
    <w:uiPriority w:val="1"/>
    <w:qFormat/>
    <w:rsid w:val="004F466A"/>
    <w:pPr>
      <w:numPr>
        <w:numId w:val="1"/>
      </w:numPr>
      <w:ind w:left="315" w:hanging="315"/>
    </w:pPr>
  </w:style>
  <w:style w:type="paragraph" w:styleId="Nzev">
    <w:name w:val="Title"/>
    <w:basedOn w:val="Normln"/>
    <w:next w:val="Normln"/>
    <w:link w:val="NzevChar"/>
    <w:uiPriority w:val="10"/>
    <w:qFormat/>
    <w:rsid w:val="004F466A"/>
    <w:pPr>
      <w:spacing w:before="240" w:after="240"/>
      <w:jc w:val="center"/>
    </w:pPr>
    <w:rPr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4F466A"/>
    <w:rPr>
      <w:rFonts w:ascii="Arial" w:hAnsi="Arial" w:cs="Arial"/>
      <w:b/>
      <w:sz w:val="36"/>
      <w:szCs w:val="36"/>
    </w:rPr>
  </w:style>
  <w:style w:type="character" w:customStyle="1" w:styleId="Nadpis2Char">
    <w:name w:val="Nadpis 2 Char"/>
    <w:aliases w:val="Číslovaný článek Char"/>
    <w:basedOn w:val="Standardnpsmoodstavce"/>
    <w:link w:val="Nadpis2"/>
    <w:uiPriority w:val="9"/>
    <w:rsid w:val="00CC039D"/>
    <w:rPr>
      <w:rFonts w:ascii="Arial" w:hAnsi="Arial" w:cs="Arial"/>
      <w:b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ED7C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E91B0F"/>
    <w:pPr>
      <w:keepNext/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91B0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C6FBD"/>
    <w:pPr>
      <w:tabs>
        <w:tab w:val="left" w:pos="660"/>
        <w:tab w:val="right" w:leader="dot" w:pos="9060"/>
      </w:tabs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91B0F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E91B0F"/>
    <w:pPr>
      <w:spacing w:after="100" w:line="259" w:lineRule="auto"/>
      <w:ind w:left="440"/>
      <w:contextualSpacing w:val="0"/>
    </w:pPr>
    <w:rPr>
      <w:rFonts w:asciiTheme="minorHAnsi" w:eastAsiaTheme="minorEastAsia" w:hAnsiTheme="minorHAns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F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FA9"/>
    <w:rPr>
      <w:rFonts w:ascii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B4FA9"/>
    <w:rPr>
      <w:vertAlign w:val="superscript"/>
    </w:rPr>
  </w:style>
  <w:style w:type="paragraph" w:styleId="Revize">
    <w:name w:val="Revision"/>
    <w:hidden/>
    <w:uiPriority w:val="99"/>
    <w:semiHidden/>
    <w:rsid w:val="0082197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Word_Document4.doc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2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5FC9-6592-45EB-8A20-DD18F5E3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1552</Words>
  <Characters>9161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 Zdeněk</dc:creator>
  <cp:lastModifiedBy>Monika Hůlková</cp:lastModifiedBy>
  <cp:revision>3</cp:revision>
  <cp:lastPrinted>2024-05-20T10:50:00Z</cp:lastPrinted>
  <dcterms:created xsi:type="dcterms:W3CDTF">2024-05-20T10:53:00Z</dcterms:created>
  <dcterms:modified xsi:type="dcterms:W3CDTF">2024-05-20T11:00:00Z</dcterms:modified>
</cp:coreProperties>
</file>